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560" w:lineRule="exact"/>
        <w:rPr>
          <w:rFonts w:ascii="黑体" w:hAnsi="黑体" w:eastAsia="黑体" w:cs="黑体"/>
          <w:szCs w:val="32"/>
        </w:rPr>
      </w:pPr>
      <w:r>
        <w:rPr>
          <w:rFonts w:hint="eastAsia" w:ascii="黑体" w:hAnsi="黑体" w:eastAsia="黑体" w:cs="黑体"/>
          <w:szCs w:val="32"/>
        </w:rPr>
        <w:t>附件2</w:t>
      </w:r>
    </w:p>
    <w:p>
      <w:pPr>
        <w:rPr>
          <w:b/>
          <w:sz w:val="52"/>
        </w:rPr>
      </w:pPr>
    </w:p>
    <w:p>
      <w:pPr>
        <w:jc w:val="center"/>
        <w:rPr>
          <w:rFonts w:ascii="宋体" w:hAnsi="宋体" w:eastAsia="宋体"/>
          <w:b/>
          <w:sz w:val="52"/>
        </w:rPr>
      </w:pPr>
      <w:r>
        <w:rPr>
          <w:rFonts w:ascii="宋体" w:hAnsi="宋体" w:eastAsia="宋体"/>
          <w:b/>
          <w:sz w:val="52"/>
        </w:rPr>
        <w:t>河  海  大  学</w:t>
      </w:r>
    </w:p>
    <w:p>
      <w:pPr>
        <w:jc w:val="center"/>
        <w:rPr>
          <w:rFonts w:ascii="宋体" w:hAnsi="宋体" w:eastAsia="宋体"/>
          <w:b/>
          <w:spacing w:val="46"/>
          <w:sz w:val="52"/>
          <w:szCs w:val="52"/>
        </w:rPr>
      </w:pPr>
      <w:r>
        <w:rPr>
          <w:rFonts w:hint="eastAsia" w:ascii="宋体" w:hAnsi="宋体" w:eastAsia="宋体"/>
          <w:b/>
          <w:spacing w:val="46"/>
          <w:sz w:val="52"/>
          <w:szCs w:val="52"/>
        </w:rPr>
        <w:t>青年教授岗位</w:t>
      </w:r>
      <w:r>
        <w:rPr>
          <w:rFonts w:ascii="宋体" w:hAnsi="宋体" w:eastAsia="宋体"/>
          <w:b/>
          <w:spacing w:val="46"/>
          <w:sz w:val="52"/>
          <w:szCs w:val="52"/>
        </w:rPr>
        <w:t>申请</w:t>
      </w:r>
      <w:r>
        <w:rPr>
          <w:rFonts w:hint="eastAsia" w:ascii="宋体" w:hAnsi="宋体" w:eastAsia="宋体"/>
          <w:b/>
          <w:spacing w:val="46"/>
          <w:sz w:val="52"/>
          <w:szCs w:val="52"/>
        </w:rPr>
        <w:t>书</w:t>
      </w:r>
    </w:p>
    <w:p>
      <w:pPr>
        <w:jc w:val="center"/>
        <w:rPr>
          <w:rFonts w:hAnsi="宋体"/>
          <w:b/>
          <w:sz w:val="28"/>
          <w:szCs w:val="28"/>
        </w:rPr>
      </w:pPr>
    </w:p>
    <w:p>
      <w:pPr>
        <w:rPr>
          <w:b/>
          <w:sz w:val="52"/>
        </w:rPr>
      </w:pPr>
    </w:p>
    <w:p>
      <w:pPr>
        <w:ind w:firstLine="1820" w:firstLineChars="650"/>
        <w:jc w:val="left"/>
        <w:rPr>
          <w:rFonts w:ascii="宋体" w:hAnsi="宋体" w:eastAsia="宋体"/>
          <w:sz w:val="28"/>
          <w:u w:val="single"/>
        </w:rPr>
      </w:pPr>
      <w:r>
        <w:rPr>
          <w:rFonts w:ascii="宋体" w:hAnsi="宋体" w:eastAsia="宋体"/>
          <w:sz w:val="28"/>
        </w:rPr>
        <w:t>申请人姓名：</w:t>
      </w:r>
      <w:r>
        <w:rPr>
          <w:rFonts w:ascii="宋体" w:hAnsi="宋体" w:eastAsia="宋体"/>
          <w:sz w:val="28"/>
          <w:u w:val="single"/>
        </w:rPr>
        <w:t xml:space="preserve">       </w:t>
      </w:r>
      <w:r>
        <w:rPr>
          <w:rFonts w:hint="eastAsia" w:ascii="宋体" w:hAnsi="宋体" w:eastAsia="宋体"/>
          <w:sz w:val="28"/>
          <w:u w:val="single"/>
          <w:lang w:val="en-US" w:eastAsia="zh-CN"/>
        </w:rPr>
        <w:t>巫义锐</w:t>
      </w:r>
      <w:r>
        <w:rPr>
          <w:rFonts w:ascii="宋体" w:hAnsi="宋体" w:eastAsia="宋体"/>
          <w:sz w:val="28"/>
          <w:u w:val="single"/>
        </w:rPr>
        <w:t xml:space="preserve">   </w:t>
      </w:r>
      <w:r>
        <w:rPr>
          <w:rFonts w:ascii="宋体" w:hAnsi="宋体" w:eastAsia="宋体"/>
          <w:b/>
          <w:sz w:val="28"/>
          <w:u w:val="single"/>
        </w:rPr>
        <w:t xml:space="preserve">  </w:t>
      </w:r>
      <w:r>
        <w:rPr>
          <w:rFonts w:ascii="宋体" w:hAnsi="宋体" w:eastAsia="宋体"/>
          <w:sz w:val="28"/>
          <w:u w:val="single"/>
        </w:rPr>
        <w:t xml:space="preserve">      </w:t>
      </w:r>
      <w:r>
        <w:rPr>
          <w:rFonts w:hint="eastAsia" w:ascii="宋体" w:hAnsi="宋体" w:eastAsia="宋体"/>
          <w:sz w:val="28"/>
          <w:u w:val="single"/>
          <w:lang w:val="en-US" w:eastAsia="zh-CN"/>
        </w:rPr>
        <w:t xml:space="preserve">  </w:t>
      </w:r>
      <w:r>
        <w:rPr>
          <w:rFonts w:ascii="宋体" w:hAnsi="宋体" w:eastAsia="宋体"/>
          <w:sz w:val="28"/>
          <w:u w:val="single"/>
        </w:rPr>
        <w:t xml:space="preserve"> </w:t>
      </w:r>
    </w:p>
    <w:p>
      <w:pPr>
        <w:ind w:firstLine="1820" w:firstLineChars="650"/>
        <w:jc w:val="left"/>
        <w:rPr>
          <w:rFonts w:ascii="宋体" w:hAnsi="宋体" w:eastAsia="宋体"/>
          <w:sz w:val="28"/>
          <w:u w:val="single"/>
        </w:rPr>
      </w:pPr>
      <w:r>
        <w:rPr>
          <w:rFonts w:hint="eastAsia" w:ascii="宋体" w:hAnsi="宋体" w:eastAsia="宋体"/>
          <w:sz w:val="28"/>
        </w:rPr>
        <w:t>联系电话（手机）：</w:t>
      </w:r>
      <w:r>
        <w:rPr>
          <w:rFonts w:hint="eastAsia" w:ascii="宋体" w:hAnsi="宋体" w:eastAsia="宋体"/>
          <w:sz w:val="28"/>
          <w:u w:val="single"/>
        </w:rPr>
        <w:t xml:space="preserve">     </w:t>
      </w:r>
      <w:r>
        <w:rPr>
          <w:rFonts w:hint="eastAsia" w:ascii="宋体" w:hAnsi="宋体" w:eastAsia="宋体"/>
          <w:sz w:val="28"/>
          <w:u w:val="single"/>
          <w:lang w:val="en-US" w:eastAsia="zh-CN"/>
        </w:rPr>
        <w:t>18090025577</w:t>
      </w:r>
      <w:r>
        <w:rPr>
          <w:rFonts w:hint="eastAsia" w:ascii="宋体" w:hAnsi="宋体" w:eastAsia="宋体"/>
          <w:sz w:val="28"/>
          <w:u w:val="single"/>
        </w:rPr>
        <w:t xml:space="preserve">       </w:t>
      </w:r>
    </w:p>
    <w:p>
      <w:pPr>
        <w:ind w:firstLine="1820" w:firstLineChars="650"/>
        <w:jc w:val="left"/>
        <w:rPr>
          <w:rFonts w:ascii="宋体" w:hAnsi="宋体" w:eastAsia="宋体"/>
          <w:bCs/>
          <w:sz w:val="28"/>
          <w:u w:val="single"/>
        </w:rPr>
      </w:pPr>
      <w:r>
        <w:rPr>
          <w:rFonts w:hint="eastAsia" w:ascii="宋体" w:hAnsi="宋体" w:eastAsia="宋体"/>
          <w:sz w:val="28"/>
        </w:rPr>
        <w:t>现任职</w:t>
      </w:r>
      <w:r>
        <w:rPr>
          <w:rFonts w:ascii="宋体" w:hAnsi="宋体" w:eastAsia="宋体"/>
          <w:sz w:val="28"/>
        </w:rPr>
        <w:t>单位（学院）：</w:t>
      </w:r>
      <w:r>
        <w:rPr>
          <w:rFonts w:hint="eastAsia" w:ascii="宋体" w:hAnsi="宋体" w:eastAsia="宋体"/>
          <w:bCs/>
          <w:sz w:val="28"/>
          <w:u w:val="single"/>
          <w:lang w:val="en-US" w:eastAsia="zh-CN"/>
        </w:rPr>
        <w:t>计算机与信息学院</w:t>
      </w:r>
      <w:r>
        <w:rPr>
          <w:rFonts w:ascii="宋体" w:hAnsi="宋体" w:eastAsia="宋体"/>
          <w:bCs/>
          <w:sz w:val="28"/>
          <w:u w:val="single"/>
        </w:rPr>
        <w:t xml:space="preserve">     </w:t>
      </w:r>
    </w:p>
    <w:p>
      <w:pPr>
        <w:ind w:firstLine="1820" w:firstLineChars="650"/>
        <w:jc w:val="left"/>
        <w:rPr>
          <w:rFonts w:ascii="宋体" w:hAnsi="宋体" w:eastAsia="宋体"/>
          <w:sz w:val="28"/>
          <w:u w:val="single"/>
        </w:rPr>
      </w:pPr>
      <w:r>
        <w:rPr>
          <w:rFonts w:ascii="宋体" w:hAnsi="宋体" w:eastAsia="宋体"/>
          <w:sz w:val="28"/>
        </w:rPr>
        <w:t>现任专业技术</w:t>
      </w:r>
      <w:r>
        <w:rPr>
          <w:rFonts w:hint="eastAsia" w:ascii="宋体" w:hAnsi="宋体" w:eastAsia="宋体"/>
          <w:sz w:val="28"/>
        </w:rPr>
        <w:t>岗位</w:t>
      </w:r>
      <w:r>
        <w:rPr>
          <w:rFonts w:ascii="宋体" w:hAnsi="宋体" w:eastAsia="宋体"/>
          <w:sz w:val="28"/>
        </w:rPr>
        <w:t>：</w:t>
      </w:r>
      <w:r>
        <w:rPr>
          <w:rFonts w:ascii="宋体" w:hAnsi="宋体" w:eastAsia="宋体"/>
          <w:sz w:val="28"/>
          <w:u w:val="single"/>
        </w:rPr>
        <w:t xml:space="preserve">    </w:t>
      </w:r>
      <w:r>
        <w:rPr>
          <w:rFonts w:hint="eastAsia" w:ascii="宋体" w:hAnsi="宋体" w:eastAsia="宋体"/>
          <w:sz w:val="28"/>
          <w:u w:val="single"/>
          <w:lang w:val="en-US" w:eastAsia="zh-CN"/>
        </w:rPr>
        <w:t>副教授</w:t>
      </w:r>
      <w:r>
        <w:rPr>
          <w:rFonts w:ascii="宋体" w:hAnsi="宋体" w:eastAsia="宋体"/>
          <w:sz w:val="28"/>
          <w:u w:val="single"/>
        </w:rPr>
        <w:t xml:space="preserve">            </w:t>
      </w:r>
    </w:p>
    <w:p>
      <w:pPr>
        <w:ind w:firstLine="1820" w:firstLineChars="650"/>
        <w:jc w:val="left"/>
        <w:rPr>
          <w:rFonts w:ascii="宋体" w:hAnsi="宋体" w:eastAsia="宋体"/>
          <w:sz w:val="28"/>
          <w:u w:val="single"/>
        </w:rPr>
      </w:pPr>
      <w:r>
        <w:rPr>
          <w:rFonts w:hint="eastAsia" w:ascii="宋体" w:hAnsi="宋体" w:eastAsia="宋体"/>
          <w:sz w:val="28"/>
        </w:rPr>
        <w:t>所在二级学科</w:t>
      </w:r>
      <w:r>
        <w:rPr>
          <w:rFonts w:ascii="宋体" w:hAnsi="宋体" w:eastAsia="宋体"/>
          <w:sz w:val="28"/>
        </w:rPr>
        <w:t>：</w:t>
      </w:r>
      <w:r>
        <w:rPr>
          <w:rFonts w:ascii="宋体" w:hAnsi="宋体" w:eastAsia="宋体"/>
          <w:sz w:val="28"/>
          <w:u w:val="single"/>
        </w:rPr>
        <w:t xml:space="preserve">   </w:t>
      </w:r>
      <w:r>
        <w:rPr>
          <w:rFonts w:hint="eastAsia" w:ascii="宋体" w:hAnsi="宋体" w:eastAsia="宋体"/>
          <w:sz w:val="28"/>
          <w:u w:val="single"/>
          <w:lang w:val="en-US" w:eastAsia="zh-CN"/>
        </w:rPr>
        <w:t>计算机应用技术</w:t>
      </w:r>
      <w:r>
        <w:rPr>
          <w:rFonts w:ascii="宋体" w:hAnsi="宋体" w:eastAsia="宋体"/>
          <w:sz w:val="28"/>
          <w:u w:val="single"/>
        </w:rPr>
        <w:t xml:space="preserve">         </w:t>
      </w:r>
    </w:p>
    <w:p>
      <w:pPr>
        <w:ind w:firstLine="1820" w:firstLineChars="650"/>
        <w:jc w:val="left"/>
        <w:rPr>
          <w:rFonts w:ascii="宋体" w:hAnsi="宋体" w:eastAsia="宋体"/>
          <w:sz w:val="28"/>
          <w:u w:val="single"/>
        </w:rPr>
      </w:pPr>
      <w:r>
        <w:rPr>
          <w:rFonts w:hint="eastAsia" w:ascii="宋体" w:hAnsi="宋体" w:eastAsia="宋体"/>
          <w:sz w:val="28"/>
        </w:rPr>
        <w:t>填 表 日 期</w:t>
      </w:r>
      <w:r>
        <w:rPr>
          <w:rFonts w:ascii="宋体" w:hAnsi="宋体" w:eastAsia="宋体"/>
          <w:sz w:val="28"/>
        </w:rPr>
        <w:t>：</w:t>
      </w:r>
      <w:r>
        <w:rPr>
          <w:rFonts w:ascii="宋体" w:hAnsi="宋体" w:eastAsia="宋体"/>
          <w:sz w:val="28"/>
          <w:u w:val="single"/>
        </w:rPr>
        <w:t xml:space="preserve">  </w:t>
      </w:r>
      <w:r>
        <w:rPr>
          <w:rFonts w:hint="eastAsia" w:ascii="宋体" w:hAnsi="宋体" w:eastAsia="宋体"/>
          <w:sz w:val="28"/>
          <w:u w:val="single"/>
          <w:lang w:val="en-US" w:eastAsia="zh-CN"/>
        </w:rPr>
        <w:t>2021</w:t>
      </w:r>
      <w:r>
        <w:rPr>
          <w:rFonts w:ascii="宋体" w:hAnsi="宋体" w:eastAsia="宋体"/>
          <w:sz w:val="28"/>
          <w:u w:val="single"/>
        </w:rPr>
        <w:t xml:space="preserve">  </w:t>
      </w:r>
      <w:r>
        <w:rPr>
          <w:rFonts w:hint="eastAsia" w:ascii="宋体" w:hAnsi="宋体" w:eastAsia="宋体"/>
          <w:sz w:val="28"/>
          <w:u w:val="single"/>
        </w:rPr>
        <w:t>年</w:t>
      </w:r>
      <w:r>
        <w:rPr>
          <w:rFonts w:ascii="宋体" w:hAnsi="宋体" w:eastAsia="宋体"/>
          <w:sz w:val="28"/>
          <w:u w:val="single"/>
        </w:rPr>
        <w:t xml:space="preserve">  </w:t>
      </w:r>
      <w:r>
        <w:rPr>
          <w:rFonts w:hint="eastAsia" w:ascii="宋体" w:hAnsi="宋体" w:eastAsia="宋体"/>
          <w:sz w:val="28"/>
          <w:u w:val="single"/>
          <w:lang w:val="en-US" w:eastAsia="zh-CN"/>
        </w:rPr>
        <w:t>12</w:t>
      </w:r>
      <w:r>
        <w:rPr>
          <w:rFonts w:ascii="宋体" w:hAnsi="宋体" w:eastAsia="宋体"/>
          <w:sz w:val="28"/>
          <w:u w:val="single"/>
        </w:rPr>
        <w:t xml:space="preserve">   </w:t>
      </w:r>
      <w:r>
        <w:rPr>
          <w:rFonts w:hint="eastAsia" w:ascii="宋体" w:hAnsi="宋体" w:eastAsia="宋体"/>
          <w:sz w:val="28"/>
          <w:u w:val="single"/>
        </w:rPr>
        <w:t xml:space="preserve">月 </w:t>
      </w:r>
      <w:r>
        <w:rPr>
          <w:rFonts w:ascii="宋体" w:hAnsi="宋体" w:eastAsia="宋体"/>
          <w:sz w:val="28"/>
          <w:u w:val="single"/>
        </w:rPr>
        <w:t xml:space="preserve"> </w:t>
      </w:r>
      <w:r>
        <w:rPr>
          <w:rFonts w:hint="eastAsia" w:ascii="宋体" w:hAnsi="宋体" w:eastAsia="宋体"/>
          <w:sz w:val="28"/>
          <w:u w:val="single"/>
          <w:lang w:val="en-US" w:eastAsia="zh-CN"/>
        </w:rPr>
        <w:t>12</w:t>
      </w:r>
      <w:r>
        <w:rPr>
          <w:rFonts w:ascii="宋体" w:hAnsi="宋体" w:eastAsia="宋体"/>
          <w:sz w:val="28"/>
          <w:u w:val="single"/>
        </w:rPr>
        <w:t xml:space="preserve">  </w:t>
      </w:r>
      <w:r>
        <w:rPr>
          <w:rFonts w:hint="eastAsia" w:ascii="宋体" w:hAnsi="宋体" w:eastAsia="宋体"/>
          <w:sz w:val="28"/>
          <w:u w:val="single"/>
        </w:rPr>
        <w:t>日</w:t>
      </w:r>
    </w:p>
    <w:p>
      <w:pPr>
        <w:ind w:firstLine="1820" w:firstLineChars="650"/>
        <w:jc w:val="left"/>
        <w:rPr>
          <w:rFonts w:ascii="宋体" w:hAnsi="宋体" w:eastAsia="宋体"/>
          <w:sz w:val="28"/>
          <w:u w:val="single"/>
        </w:rPr>
      </w:pPr>
    </w:p>
    <w:p>
      <w:pPr>
        <w:jc w:val="center"/>
      </w:pPr>
    </w:p>
    <w:p>
      <w:pPr>
        <w:jc w:val="center"/>
      </w:pPr>
    </w:p>
    <w:p/>
    <w:p>
      <w:pPr>
        <w:jc w:val="center"/>
      </w:pPr>
    </w:p>
    <w:p>
      <w:pPr>
        <w:jc w:val="center"/>
        <w:rPr>
          <w:rFonts w:ascii="黑体" w:eastAsia="黑体"/>
          <w:sz w:val="30"/>
        </w:rPr>
      </w:pPr>
      <w:r>
        <w:rPr>
          <w:rFonts w:hint="eastAsia" w:ascii="黑体" w:eastAsia="黑体"/>
          <w:sz w:val="30"/>
        </w:rPr>
        <w:t xml:space="preserve">河   海   大   学 </w:t>
      </w:r>
    </w:p>
    <w:p>
      <w:pPr>
        <w:jc w:val="center"/>
        <w:sectPr>
          <w:pgSz w:w="11906" w:h="16838"/>
          <w:pgMar w:top="1440" w:right="1800" w:bottom="1440" w:left="1800" w:header="851" w:footer="992" w:gutter="0"/>
          <w:pgNumType w:start="1"/>
          <w:cols w:space="720" w:num="1"/>
          <w:docGrid w:type="lines" w:linePitch="312" w:charSpace="0"/>
        </w:sectPr>
      </w:pPr>
    </w:p>
    <w:p>
      <w:pPr>
        <w:jc w:val="center"/>
      </w:pPr>
    </w:p>
    <w:p>
      <w:pPr>
        <w:jc w:val="center"/>
      </w:pPr>
    </w:p>
    <w:p>
      <w:pPr>
        <w:jc w:val="center"/>
        <w:rPr>
          <w:rFonts w:ascii="宋体" w:hAnsi="宋体" w:eastAsia="宋体"/>
          <w:b/>
        </w:rPr>
      </w:pPr>
      <w:r>
        <w:rPr>
          <w:rFonts w:hint="eastAsia" w:ascii="宋体" w:hAnsi="宋体" w:eastAsia="宋体"/>
          <w:b/>
        </w:rPr>
        <w:t>填  写  说  明</w:t>
      </w:r>
    </w:p>
    <w:p>
      <w:pPr>
        <w:rPr>
          <w:rFonts w:ascii="宋体" w:hAnsi="宋体" w:eastAsia="宋体"/>
        </w:rPr>
      </w:pPr>
    </w:p>
    <w:p>
      <w:pPr>
        <w:spacing w:line="360" w:lineRule="auto"/>
        <w:ind w:left="525" w:hanging="525"/>
        <w:rPr>
          <w:rFonts w:ascii="仿宋_GB2312" w:hAnsi="仿宋_GB2312" w:cs="仿宋_GB2312"/>
          <w:szCs w:val="32"/>
        </w:rPr>
      </w:pPr>
      <w:r>
        <w:rPr>
          <w:rFonts w:hint="eastAsia" w:ascii="仿宋_GB2312" w:hAnsi="仿宋_GB2312" w:cs="仿宋_GB2312"/>
          <w:kern w:val="0"/>
          <w:szCs w:val="32"/>
        </w:rPr>
        <w:t>一、</w:t>
      </w:r>
      <w:r>
        <w:rPr>
          <w:rFonts w:hint="eastAsia" w:ascii="仿宋_GB2312" w:hAnsi="仿宋_GB2312" w:cs="仿宋_GB2312"/>
          <w:szCs w:val="32"/>
        </w:rPr>
        <w:t>填写本表要认真负责，实事求是，用A4纸双面打印。</w:t>
      </w:r>
    </w:p>
    <w:p>
      <w:pPr>
        <w:spacing w:line="360" w:lineRule="auto"/>
        <w:ind w:left="525" w:hanging="525"/>
        <w:rPr>
          <w:rFonts w:ascii="仿宋_GB2312" w:hAnsi="仿宋_GB2312" w:cs="仿宋_GB2312"/>
          <w:kern w:val="0"/>
          <w:szCs w:val="32"/>
        </w:rPr>
      </w:pPr>
      <w:r>
        <w:rPr>
          <w:rFonts w:hint="eastAsia" w:ascii="仿宋_GB2312" w:hAnsi="仿宋_GB2312" w:cs="仿宋_GB2312"/>
          <w:kern w:val="0"/>
          <w:szCs w:val="32"/>
        </w:rPr>
        <w:t>二、本表第一至五项由申请人本人填写，所在院系负责审核。第六项由岗位设立的学院填写。</w:t>
      </w:r>
    </w:p>
    <w:p>
      <w:pPr>
        <w:spacing w:line="360" w:lineRule="auto"/>
        <w:ind w:left="525" w:hanging="525"/>
        <w:rPr>
          <w:rFonts w:ascii="仿宋_GB2312" w:hAnsi="仿宋_GB2312" w:cs="仿宋_GB2312"/>
          <w:kern w:val="0"/>
          <w:szCs w:val="32"/>
        </w:rPr>
      </w:pPr>
      <w:r>
        <w:rPr>
          <w:rFonts w:hint="eastAsia" w:ascii="仿宋_GB2312" w:hAnsi="仿宋_GB2312" w:cs="仿宋_GB2312"/>
          <w:kern w:val="0"/>
          <w:szCs w:val="32"/>
        </w:rPr>
        <w:t>三、</w:t>
      </w:r>
      <w:r>
        <w:rPr>
          <w:rFonts w:hint="eastAsia" w:ascii="仿宋_GB2312" w:hAnsi="仿宋_GB2312" w:cs="仿宋_GB2312"/>
          <w:szCs w:val="32"/>
        </w:rPr>
        <w:t>本表内有关栏目如不够填写，可自行加页，加页需紧附该栏目之后。</w:t>
      </w:r>
    </w:p>
    <w:p>
      <w:pPr>
        <w:ind w:firstLine="420"/>
        <w:rPr>
          <w:rFonts w:ascii="仿宋_GB2312" w:hAnsi="仿宋_GB2312" w:cs="仿宋_GB2312"/>
          <w:spacing w:val="-4"/>
          <w:szCs w:val="32"/>
        </w:rPr>
      </w:pPr>
    </w:p>
    <w:p>
      <w:pPr>
        <w:ind w:firstLine="420"/>
        <w:rPr>
          <w:rFonts w:ascii="仿宋_GB2312" w:hAnsi="仿宋_GB2312" w:cs="仿宋_GB2312"/>
          <w:spacing w:val="-4"/>
          <w:szCs w:val="32"/>
        </w:rPr>
      </w:pPr>
    </w:p>
    <w:p/>
    <w:p>
      <w:pPr>
        <w:outlineLvl w:val="0"/>
        <w:rPr>
          <w:rFonts w:ascii="宋体" w:hAnsi="宋体" w:eastAsia="宋体"/>
          <w:b/>
          <w:sz w:val="30"/>
        </w:rPr>
      </w:pPr>
      <w:r>
        <w:rPr>
          <w:b/>
          <w:sz w:val="30"/>
        </w:rPr>
        <w:br w:type="page"/>
      </w:r>
      <w:r>
        <w:rPr>
          <w:rFonts w:ascii="宋体" w:hAnsi="宋体" w:eastAsia="宋体"/>
          <w:b/>
          <w:sz w:val="30"/>
        </w:rPr>
        <w:t>一、基本情况</w:t>
      </w:r>
    </w:p>
    <w:tbl>
      <w:tblPr>
        <w:tblStyle w:val="9"/>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6"/>
        <w:gridCol w:w="452"/>
        <w:gridCol w:w="1386"/>
        <w:gridCol w:w="913"/>
        <w:gridCol w:w="1031"/>
        <w:gridCol w:w="987"/>
        <w:gridCol w:w="987"/>
        <w:gridCol w:w="946"/>
        <w:gridCol w:w="12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1008"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姓  名</w:t>
            </w:r>
          </w:p>
        </w:tc>
        <w:tc>
          <w:tcPr>
            <w:tcW w:w="1386"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巫义锐</w:t>
            </w:r>
          </w:p>
        </w:tc>
        <w:tc>
          <w:tcPr>
            <w:tcW w:w="913" w:type="dxa"/>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性  别</w:t>
            </w:r>
          </w:p>
        </w:tc>
        <w:tc>
          <w:tcPr>
            <w:tcW w:w="1031"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男</w:t>
            </w:r>
          </w:p>
        </w:tc>
        <w:tc>
          <w:tcPr>
            <w:tcW w:w="987" w:type="dxa"/>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民  族</w:t>
            </w:r>
          </w:p>
        </w:tc>
        <w:tc>
          <w:tcPr>
            <w:tcW w:w="987"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汉</w:t>
            </w:r>
          </w:p>
        </w:tc>
        <w:tc>
          <w:tcPr>
            <w:tcW w:w="946" w:type="dxa"/>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出生年月</w:t>
            </w:r>
          </w:p>
        </w:tc>
        <w:tc>
          <w:tcPr>
            <w:tcW w:w="1266" w:type="dxa"/>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lang w:val="en-US" w:eastAsia="zh-CN"/>
              </w:rPr>
              <w:t>1989.03.07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2394" w:type="dxa"/>
            <w:gridSpan w:val="3"/>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现任专业技术职务及任职时间</w:t>
            </w:r>
          </w:p>
        </w:tc>
        <w:tc>
          <w:tcPr>
            <w:tcW w:w="1944"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副教授/2019.7</w:t>
            </w:r>
          </w:p>
        </w:tc>
        <w:tc>
          <w:tcPr>
            <w:tcW w:w="987" w:type="dxa"/>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政治面貌</w:t>
            </w:r>
          </w:p>
        </w:tc>
        <w:tc>
          <w:tcPr>
            <w:tcW w:w="987"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中共党员</w:t>
            </w:r>
          </w:p>
        </w:tc>
        <w:tc>
          <w:tcPr>
            <w:tcW w:w="946" w:type="dxa"/>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行政职务</w:t>
            </w:r>
          </w:p>
        </w:tc>
        <w:tc>
          <w:tcPr>
            <w:tcW w:w="1266"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94" w:type="dxa"/>
            <w:gridSpan w:val="3"/>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最高学位及取得时间</w:t>
            </w:r>
          </w:p>
        </w:tc>
        <w:tc>
          <w:tcPr>
            <w:tcW w:w="1944"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博士研究生，2016.06</w:t>
            </w:r>
          </w:p>
        </w:tc>
        <w:tc>
          <w:tcPr>
            <w:tcW w:w="1974"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授予国家或地区、学校和专业</w:t>
            </w:r>
          </w:p>
        </w:tc>
        <w:tc>
          <w:tcPr>
            <w:tcW w:w="2212" w:type="dxa"/>
            <w:gridSpan w:val="2"/>
            <w:tcBorders>
              <w:top w:val="nil"/>
              <w:bottom w:val="nil"/>
            </w:tcBorders>
            <w:vAlign w:val="top"/>
          </w:tcPr>
          <w:p>
            <w:pPr>
              <w:widowControl/>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南京大学计算机科学与技术系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2394" w:type="dxa"/>
            <w:gridSpan w:val="3"/>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现任职单位（学院）</w:t>
            </w:r>
          </w:p>
        </w:tc>
        <w:tc>
          <w:tcPr>
            <w:tcW w:w="1944"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计算机与信息学院</w:t>
            </w:r>
          </w:p>
        </w:tc>
        <w:tc>
          <w:tcPr>
            <w:tcW w:w="1974"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所在一级、二级</w:t>
            </w:r>
          </w:p>
          <w:p>
            <w:pPr>
              <w:snapToGrid w:val="0"/>
              <w:spacing w:line="320" w:lineRule="atLeast"/>
              <w:rPr>
                <w:rFonts w:ascii="宋体" w:hAnsi="宋体" w:eastAsia="宋体" w:cs="宋体"/>
                <w:sz w:val="21"/>
                <w:szCs w:val="21"/>
              </w:rPr>
            </w:pPr>
            <w:r>
              <w:rPr>
                <w:rFonts w:hint="eastAsia" w:ascii="宋体" w:hAnsi="宋体" w:eastAsia="宋体" w:cs="宋体"/>
                <w:sz w:val="21"/>
                <w:szCs w:val="21"/>
              </w:rPr>
              <w:t>学科名称</w:t>
            </w:r>
          </w:p>
        </w:tc>
        <w:tc>
          <w:tcPr>
            <w:tcW w:w="2212" w:type="dxa"/>
            <w:gridSpan w:val="2"/>
            <w:vAlign w:val="center"/>
          </w:tcPr>
          <w:p>
            <w:pPr>
              <w:snapToGrid w:val="0"/>
              <w:spacing w:line="320" w:lineRule="atLeast"/>
              <w:jc w:val="center"/>
              <w:rPr>
                <w:rFonts w:hint="default" w:ascii="宋体" w:hAnsi="宋体" w:eastAsia="宋体" w:cs="宋体"/>
                <w:sz w:val="21"/>
                <w:szCs w:val="21"/>
                <w:lang w:val="en-US"/>
              </w:rPr>
            </w:pPr>
            <w:r>
              <w:rPr>
                <w:rFonts w:hint="eastAsia" w:ascii="宋体" w:hAnsi="宋体" w:eastAsia="宋体" w:cs="宋体"/>
                <w:sz w:val="21"/>
                <w:szCs w:val="21"/>
                <w:lang w:val="en-US" w:eastAsia="zh-CN"/>
              </w:rPr>
              <w:t>计算机科学与技术、计算机应用技术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94" w:type="dxa"/>
            <w:gridSpan w:val="3"/>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现从事专业方向</w:t>
            </w:r>
          </w:p>
        </w:tc>
        <w:tc>
          <w:tcPr>
            <w:tcW w:w="1944" w:type="dxa"/>
            <w:gridSpan w:val="2"/>
            <w:vAlign w:val="center"/>
          </w:tcPr>
          <w:p>
            <w:pPr>
              <w:snapToGrid w:val="0"/>
              <w:spacing w:line="320" w:lineRule="atLeas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智慧水利，计算机视觉</w:t>
            </w:r>
          </w:p>
        </w:tc>
        <w:tc>
          <w:tcPr>
            <w:tcW w:w="1974"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若受聘可来校</w:t>
            </w:r>
          </w:p>
          <w:p>
            <w:pPr>
              <w:snapToGrid w:val="0"/>
              <w:spacing w:line="320" w:lineRule="atLeast"/>
              <w:rPr>
                <w:rFonts w:ascii="宋体" w:hAnsi="宋体" w:eastAsia="宋体"/>
                <w:sz w:val="24"/>
                <w:szCs w:val="24"/>
              </w:rPr>
            </w:pPr>
            <w:r>
              <w:rPr>
                <w:rFonts w:hint="eastAsia" w:ascii="宋体" w:hAnsi="宋体" w:eastAsia="宋体" w:cs="宋体"/>
                <w:sz w:val="21"/>
                <w:szCs w:val="21"/>
              </w:rPr>
              <w:t>报到时间</w:t>
            </w:r>
          </w:p>
        </w:tc>
        <w:tc>
          <w:tcPr>
            <w:tcW w:w="2212" w:type="dxa"/>
            <w:gridSpan w:val="2"/>
            <w:vAlign w:val="center"/>
          </w:tcPr>
          <w:p>
            <w:pPr>
              <w:snapToGrid w:val="0"/>
              <w:spacing w:line="320" w:lineRule="atLeast"/>
              <w:jc w:val="center"/>
              <w:rPr>
                <w:rFonts w:hint="default" w:ascii="宋体" w:hAnsi="宋体" w:eastAsia="宋体"/>
                <w:sz w:val="24"/>
                <w:szCs w:val="24"/>
                <w:lang w:val="en-US"/>
              </w:rPr>
            </w:pPr>
            <w:r>
              <w:rPr>
                <w:rFonts w:hint="eastAsia" w:ascii="宋体" w:hAnsi="宋体" w:eastAsia="宋体"/>
                <w:sz w:val="24"/>
                <w:szCs w:val="24"/>
                <w:lang w:val="en-US" w:eastAsia="zh-CN"/>
              </w:rPr>
              <w:t>2016.07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2394" w:type="dxa"/>
            <w:gridSpan w:val="3"/>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拟申请岗位所在</w:t>
            </w:r>
          </w:p>
          <w:p>
            <w:pPr>
              <w:snapToGrid w:val="0"/>
              <w:spacing w:line="320" w:lineRule="atLeast"/>
              <w:rPr>
                <w:rFonts w:ascii="宋体" w:hAnsi="宋体" w:eastAsia="宋体" w:cs="宋体"/>
                <w:sz w:val="21"/>
                <w:szCs w:val="21"/>
              </w:rPr>
            </w:pPr>
            <w:r>
              <w:rPr>
                <w:rFonts w:hint="eastAsia" w:ascii="宋体" w:hAnsi="宋体" w:eastAsia="宋体" w:cs="宋体"/>
                <w:sz w:val="21"/>
                <w:szCs w:val="21"/>
              </w:rPr>
              <w:t>二级学科</w:t>
            </w:r>
          </w:p>
        </w:tc>
        <w:tc>
          <w:tcPr>
            <w:tcW w:w="1944"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计算机应用技术</w:t>
            </w:r>
          </w:p>
        </w:tc>
        <w:tc>
          <w:tcPr>
            <w:tcW w:w="1974"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拟从事专业方向</w:t>
            </w:r>
          </w:p>
        </w:tc>
        <w:tc>
          <w:tcPr>
            <w:tcW w:w="2212"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智慧水利，计算机视觉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2394" w:type="dxa"/>
            <w:gridSpan w:val="3"/>
            <w:vAlign w:val="center"/>
          </w:tcPr>
          <w:p>
            <w:pPr>
              <w:snapToGrid w:val="0"/>
              <w:spacing w:line="320" w:lineRule="atLeast"/>
              <w:rPr>
                <w:rFonts w:ascii="宋体" w:hAnsi="宋体" w:eastAsia="宋体" w:cs="宋体"/>
                <w:sz w:val="21"/>
                <w:szCs w:val="21"/>
              </w:rPr>
            </w:pPr>
            <w:r>
              <w:rPr>
                <w:rFonts w:ascii="宋体" w:hAnsi="宋体" w:eastAsia="宋体" w:cs="宋体"/>
                <w:sz w:val="21"/>
                <w:szCs w:val="21"/>
              </w:rPr>
              <w:t>所在团队</w:t>
            </w:r>
          </w:p>
        </w:tc>
        <w:tc>
          <w:tcPr>
            <w:tcW w:w="1944"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水利大数据研究所</w:t>
            </w:r>
          </w:p>
        </w:tc>
        <w:tc>
          <w:tcPr>
            <w:tcW w:w="1974" w:type="dxa"/>
            <w:gridSpan w:val="2"/>
            <w:vAlign w:val="center"/>
          </w:tcPr>
          <w:p>
            <w:pPr>
              <w:snapToGrid w:val="0"/>
              <w:spacing w:line="320" w:lineRule="atLeast"/>
              <w:rPr>
                <w:rFonts w:ascii="宋体" w:hAnsi="宋体" w:eastAsia="宋体" w:cs="宋体"/>
                <w:sz w:val="21"/>
                <w:szCs w:val="21"/>
              </w:rPr>
            </w:pPr>
            <w:r>
              <w:rPr>
                <w:rFonts w:ascii="宋体" w:hAnsi="宋体" w:eastAsia="宋体" w:cs="宋体"/>
                <w:sz w:val="21"/>
                <w:szCs w:val="21"/>
              </w:rPr>
              <w:t>团队负责人</w:t>
            </w:r>
          </w:p>
        </w:tc>
        <w:tc>
          <w:tcPr>
            <w:tcW w:w="2212"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冯钧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56" w:type="dxa"/>
            <w:vMerge w:val="restart"/>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学习经历</w:t>
            </w:r>
          </w:p>
        </w:tc>
        <w:tc>
          <w:tcPr>
            <w:tcW w:w="1838"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起 止 年 月</w:t>
            </w:r>
          </w:p>
        </w:tc>
        <w:tc>
          <w:tcPr>
            <w:tcW w:w="1944"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学校</w:t>
            </w:r>
          </w:p>
        </w:tc>
        <w:tc>
          <w:tcPr>
            <w:tcW w:w="1974"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专业</w:t>
            </w:r>
          </w:p>
        </w:tc>
        <w:tc>
          <w:tcPr>
            <w:tcW w:w="2212"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学历/学位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556" w:type="dxa"/>
            <w:vMerge w:val="continue"/>
            <w:vAlign w:val="center"/>
          </w:tcPr>
          <w:p>
            <w:pPr>
              <w:snapToGrid w:val="0"/>
              <w:spacing w:line="320" w:lineRule="atLeast"/>
              <w:rPr>
                <w:rFonts w:ascii="宋体" w:hAnsi="宋体" w:eastAsia="宋体" w:cs="宋体"/>
                <w:sz w:val="21"/>
                <w:szCs w:val="21"/>
              </w:rPr>
            </w:pPr>
          </w:p>
        </w:tc>
        <w:tc>
          <w:tcPr>
            <w:tcW w:w="1838"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lang w:val="en-US" w:eastAsia="zh-CN"/>
              </w:rPr>
              <w:t>2007.09-2011.06</w:t>
            </w:r>
          </w:p>
        </w:tc>
        <w:tc>
          <w:tcPr>
            <w:tcW w:w="1944"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lang w:val="en-US" w:eastAsia="zh-CN"/>
              </w:rPr>
              <w:t>南京大学</w:t>
            </w:r>
          </w:p>
        </w:tc>
        <w:tc>
          <w:tcPr>
            <w:tcW w:w="1974"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lang w:val="en-US" w:eastAsia="zh-CN"/>
              </w:rPr>
              <w:t>计算机科学与技术</w:t>
            </w:r>
          </w:p>
        </w:tc>
        <w:tc>
          <w:tcPr>
            <w:tcW w:w="2212"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lang w:val="en-US" w:eastAsia="zh-CN"/>
              </w:rPr>
              <w:t>理科学士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56" w:type="dxa"/>
            <w:vMerge w:val="continue"/>
            <w:vAlign w:val="center"/>
          </w:tcPr>
          <w:p>
            <w:pPr>
              <w:snapToGrid w:val="0"/>
              <w:spacing w:line="320" w:lineRule="atLeast"/>
              <w:rPr>
                <w:rFonts w:ascii="宋体" w:hAnsi="宋体" w:eastAsia="宋体" w:cs="宋体"/>
                <w:sz w:val="21"/>
                <w:szCs w:val="21"/>
              </w:rPr>
            </w:pPr>
          </w:p>
        </w:tc>
        <w:tc>
          <w:tcPr>
            <w:tcW w:w="1838" w:type="dxa"/>
            <w:gridSpan w:val="2"/>
            <w:vAlign w:val="center"/>
          </w:tcPr>
          <w:p>
            <w:pPr>
              <w:snapToGrid w:val="0"/>
              <w:spacing w:line="320" w:lineRule="atLeast"/>
              <w:rPr>
                <w:rFonts w:hint="default"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2011.09-2016.06</w:t>
            </w:r>
          </w:p>
        </w:tc>
        <w:tc>
          <w:tcPr>
            <w:tcW w:w="1944" w:type="dxa"/>
            <w:gridSpan w:val="2"/>
            <w:vAlign w:val="center"/>
          </w:tcPr>
          <w:p>
            <w:pPr>
              <w:snapToGrid w:val="0"/>
              <w:spacing w:line="320" w:lineRule="atLeast"/>
              <w:rPr>
                <w:rFonts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南京大学</w:t>
            </w:r>
          </w:p>
        </w:tc>
        <w:tc>
          <w:tcPr>
            <w:tcW w:w="1974" w:type="dxa"/>
            <w:gridSpan w:val="2"/>
            <w:vAlign w:val="center"/>
          </w:tcPr>
          <w:p>
            <w:pPr>
              <w:snapToGrid w:val="0"/>
              <w:spacing w:line="320" w:lineRule="atLeast"/>
              <w:rPr>
                <w:rFonts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计算机科学与技术</w:t>
            </w:r>
          </w:p>
        </w:tc>
        <w:tc>
          <w:tcPr>
            <w:tcW w:w="2212" w:type="dxa"/>
            <w:gridSpan w:val="2"/>
            <w:vAlign w:val="center"/>
          </w:tcPr>
          <w:p>
            <w:pPr>
              <w:snapToGrid w:val="0"/>
              <w:spacing w:line="320" w:lineRule="atLeast"/>
              <w:rPr>
                <w:rFonts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工学博士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556" w:type="dxa"/>
            <w:vMerge w:val="continue"/>
            <w:vAlign w:val="center"/>
          </w:tcPr>
          <w:p>
            <w:pPr>
              <w:snapToGrid w:val="0"/>
              <w:spacing w:line="320" w:lineRule="atLeast"/>
              <w:rPr>
                <w:rFonts w:ascii="宋体" w:hAnsi="宋体" w:eastAsia="宋体" w:cs="宋体"/>
                <w:sz w:val="21"/>
                <w:szCs w:val="21"/>
              </w:rPr>
            </w:pPr>
          </w:p>
        </w:tc>
        <w:tc>
          <w:tcPr>
            <w:tcW w:w="1838" w:type="dxa"/>
            <w:gridSpan w:val="2"/>
            <w:vAlign w:val="center"/>
          </w:tcPr>
          <w:p>
            <w:pPr>
              <w:snapToGrid w:val="0"/>
              <w:spacing w:line="320" w:lineRule="atLeast"/>
              <w:rPr>
                <w:rFonts w:hint="default"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2012.08-2013.01</w:t>
            </w:r>
          </w:p>
        </w:tc>
        <w:tc>
          <w:tcPr>
            <w:tcW w:w="1944" w:type="dxa"/>
            <w:gridSpan w:val="2"/>
            <w:vAlign w:val="center"/>
          </w:tcPr>
          <w:p>
            <w:pPr>
              <w:snapToGrid w:val="0"/>
              <w:spacing w:line="320" w:lineRule="atLeast"/>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香港科学与技术大学</w:t>
            </w:r>
          </w:p>
        </w:tc>
        <w:tc>
          <w:tcPr>
            <w:tcW w:w="1974" w:type="dxa"/>
            <w:gridSpan w:val="2"/>
            <w:vAlign w:val="center"/>
          </w:tcPr>
          <w:p>
            <w:pPr>
              <w:snapToGrid w:val="0"/>
              <w:spacing w:line="320" w:lineRule="atLeast"/>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计算机科学与工程</w:t>
            </w:r>
          </w:p>
        </w:tc>
        <w:tc>
          <w:tcPr>
            <w:tcW w:w="2212" w:type="dxa"/>
            <w:gridSpan w:val="2"/>
            <w:vAlign w:val="center"/>
          </w:tcPr>
          <w:p>
            <w:pPr>
              <w:snapToGrid w:val="0"/>
              <w:spacing w:line="320" w:lineRule="atLeast"/>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访问学生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556" w:type="dxa"/>
            <w:vMerge w:val="continue"/>
            <w:vAlign w:val="center"/>
          </w:tcPr>
          <w:p>
            <w:pPr>
              <w:snapToGrid w:val="0"/>
              <w:spacing w:line="320" w:lineRule="atLeast"/>
              <w:rPr>
                <w:rFonts w:ascii="宋体" w:hAnsi="宋体" w:eastAsia="宋体" w:cs="宋体"/>
                <w:sz w:val="21"/>
                <w:szCs w:val="21"/>
              </w:rPr>
            </w:pPr>
          </w:p>
        </w:tc>
        <w:tc>
          <w:tcPr>
            <w:tcW w:w="1838" w:type="dxa"/>
            <w:gridSpan w:val="2"/>
            <w:vAlign w:val="center"/>
          </w:tcPr>
          <w:p>
            <w:pPr>
              <w:snapToGrid w:val="0"/>
              <w:spacing w:line="320" w:lineRule="atLeas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2015.02-2015.08</w:t>
            </w:r>
          </w:p>
        </w:tc>
        <w:tc>
          <w:tcPr>
            <w:tcW w:w="1944"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kern w:val="2"/>
                <w:sz w:val="21"/>
                <w:szCs w:val="21"/>
                <w:lang w:val="en-US" w:eastAsia="zh-CN" w:bidi="ar-SA"/>
              </w:rPr>
              <w:t>香港科学与技术大学</w:t>
            </w:r>
          </w:p>
        </w:tc>
        <w:tc>
          <w:tcPr>
            <w:tcW w:w="1974" w:type="dxa"/>
            <w:gridSpan w:val="2"/>
            <w:vAlign w:val="center"/>
          </w:tcPr>
          <w:p>
            <w:pPr>
              <w:snapToGrid w:val="0"/>
              <w:spacing w:line="320" w:lineRule="atLeast"/>
              <w:rPr>
                <w:rFonts w:ascii="宋体" w:hAnsi="宋体" w:eastAsia="宋体" w:cs="宋体"/>
                <w:sz w:val="21"/>
                <w:szCs w:val="21"/>
              </w:rPr>
            </w:pPr>
            <w:r>
              <w:rPr>
                <w:rFonts w:hint="eastAsia" w:ascii="宋体" w:hAnsi="宋体" w:eastAsia="宋体" w:cs="宋体"/>
                <w:kern w:val="2"/>
                <w:sz w:val="21"/>
                <w:szCs w:val="21"/>
                <w:lang w:val="en-US" w:eastAsia="zh-CN" w:bidi="ar-SA"/>
              </w:rPr>
              <w:t>计算机科学与工程</w:t>
            </w:r>
          </w:p>
        </w:tc>
        <w:tc>
          <w:tcPr>
            <w:tcW w:w="2212" w:type="dxa"/>
            <w:gridSpan w:val="2"/>
            <w:vAlign w:val="center"/>
          </w:tcPr>
          <w:p>
            <w:pPr>
              <w:snapToGrid w:val="0"/>
              <w:spacing w:line="320" w:lineRule="atLeas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助理研究员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556" w:type="dxa"/>
            <w:vMerge w:val="restart"/>
            <w:vAlign w:val="center"/>
          </w:tcPr>
          <w:p>
            <w:pPr>
              <w:snapToGrid w:val="0"/>
              <w:spacing w:line="320" w:lineRule="atLeast"/>
              <w:rPr>
                <w:rFonts w:ascii="宋体" w:hAnsi="宋体" w:eastAsia="宋体" w:cs="宋体"/>
                <w:sz w:val="21"/>
                <w:szCs w:val="21"/>
              </w:rPr>
            </w:pPr>
            <w:r>
              <w:rPr>
                <w:rFonts w:hint="eastAsia" w:ascii="宋体" w:hAnsi="宋体" w:eastAsia="宋体" w:cs="宋体"/>
                <w:sz w:val="21"/>
                <w:szCs w:val="21"/>
              </w:rPr>
              <w:t>工作经历</w:t>
            </w:r>
          </w:p>
        </w:tc>
        <w:tc>
          <w:tcPr>
            <w:tcW w:w="1838"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起 止 年 月</w:t>
            </w:r>
          </w:p>
        </w:tc>
        <w:tc>
          <w:tcPr>
            <w:tcW w:w="3918" w:type="dxa"/>
            <w:gridSpan w:val="4"/>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工作单位、部门</w:t>
            </w:r>
          </w:p>
        </w:tc>
        <w:tc>
          <w:tcPr>
            <w:tcW w:w="2212"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职务/职称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556" w:type="dxa"/>
            <w:vMerge w:val="continue"/>
            <w:vAlign w:val="center"/>
          </w:tcPr>
          <w:p>
            <w:pPr>
              <w:snapToGrid w:val="0"/>
              <w:spacing w:line="320" w:lineRule="atLeast"/>
              <w:rPr>
                <w:rFonts w:ascii="宋体" w:hAnsi="宋体" w:eastAsia="宋体" w:cs="宋体"/>
                <w:sz w:val="21"/>
                <w:szCs w:val="21"/>
              </w:rPr>
            </w:pPr>
          </w:p>
        </w:tc>
        <w:tc>
          <w:tcPr>
            <w:tcW w:w="1838"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2016.07-2019.06</w:t>
            </w:r>
          </w:p>
        </w:tc>
        <w:tc>
          <w:tcPr>
            <w:tcW w:w="3918" w:type="dxa"/>
            <w:gridSpan w:val="4"/>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河海大学计算机与信息学院</w:t>
            </w:r>
          </w:p>
        </w:tc>
        <w:tc>
          <w:tcPr>
            <w:tcW w:w="2212"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讲师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556" w:type="dxa"/>
            <w:vMerge w:val="continue"/>
            <w:vAlign w:val="center"/>
          </w:tcPr>
          <w:p>
            <w:pPr>
              <w:snapToGrid w:val="0"/>
              <w:spacing w:line="320" w:lineRule="atLeast"/>
              <w:rPr>
                <w:rFonts w:ascii="宋体" w:hAnsi="宋体" w:eastAsia="宋体" w:cs="宋体"/>
                <w:sz w:val="21"/>
                <w:szCs w:val="21"/>
              </w:rPr>
            </w:pPr>
          </w:p>
        </w:tc>
        <w:tc>
          <w:tcPr>
            <w:tcW w:w="1838"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2019.07-至今</w:t>
            </w:r>
          </w:p>
        </w:tc>
        <w:tc>
          <w:tcPr>
            <w:tcW w:w="3918" w:type="dxa"/>
            <w:gridSpan w:val="4"/>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河海大学计算机与信息学院</w:t>
            </w:r>
          </w:p>
        </w:tc>
        <w:tc>
          <w:tcPr>
            <w:tcW w:w="2212"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lang w:val="en-US" w:eastAsia="zh-CN"/>
              </w:rPr>
              <w:t>副教授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556" w:type="dxa"/>
            <w:vMerge w:val="continue"/>
            <w:vAlign w:val="center"/>
          </w:tcPr>
          <w:p>
            <w:pPr>
              <w:snapToGrid w:val="0"/>
              <w:spacing w:line="320" w:lineRule="atLeast"/>
              <w:rPr>
                <w:rFonts w:ascii="宋体" w:hAnsi="宋体" w:eastAsia="宋体" w:cs="宋体"/>
                <w:sz w:val="21"/>
                <w:szCs w:val="21"/>
              </w:rPr>
            </w:pPr>
          </w:p>
        </w:tc>
        <w:tc>
          <w:tcPr>
            <w:tcW w:w="1838" w:type="dxa"/>
            <w:gridSpan w:val="2"/>
            <w:vAlign w:val="center"/>
          </w:tcPr>
          <w:p>
            <w:pPr>
              <w:snapToGrid w:val="0"/>
              <w:spacing w:line="320" w:lineRule="atLeast"/>
              <w:jc w:val="center"/>
              <w:rPr>
                <w:rFonts w:ascii="宋体" w:hAnsi="宋体" w:eastAsia="宋体" w:cs="宋体"/>
                <w:sz w:val="21"/>
                <w:szCs w:val="21"/>
              </w:rPr>
            </w:pPr>
          </w:p>
        </w:tc>
        <w:tc>
          <w:tcPr>
            <w:tcW w:w="3918" w:type="dxa"/>
            <w:gridSpan w:val="4"/>
            <w:vAlign w:val="center"/>
          </w:tcPr>
          <w:p>
            <w:pPr>
              <w:snapToGrid w:val="0"/>
              <w:spacing w:line="320" w:lineRule="atLeast"/>
              <w:jc w:val="center"/>
              <w:rPr>
                <w:rFonts w:ascii="宋体" w:hAnsi="宋体" w:eastAsia="宋体" w:cs="宋体"/>
                <w:sz w:val="21"/>
                <w:szCs w:val="21"/>
              </w:rPr>
            </w:pPr>
          </w:p>
        </w:tc>
        <w:tc>
          <w:tcPr>
            <w:tcW w:w="2212" w:type="dxa"/>
            <w:gridSpan w:val="2"/>
            <w:vAlign w:val="center"/>
          </w:tcPr>
          <w:p>
            <w:pPr>
              <w:snapToGrid w:val="0"/>
              <w:spacing w:line="320" w:lineRule="atLeast"/>
              <w:jc w:val="center"/>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556" w:type="dxa"/>
            <w:vMerge w:val="continue"/>
            <w:vAlign w:val="center"/>
          </w:tcPr>
          <w:p>
            <w:pPr>
              <w:snapToGrid w:val="0"/>
              <w:spacing w:line="320" w:lineRule="atLeast"/>
              <w:rPr>
                <w:rFonts w:ascii="宋体" w:hAnsi="宋体" w:eastAsia="宋体" w:cs="宋体"/>
                <w:sz w:val="21"/>
                <w:szCs w:val="21"/>
              </w:rPr>
            </w:pPr>
          </w:p>
        </w:tc>
        <w:tc>
          <w:tcPr>
            <w:tcW w:w="1838" w:type="dxa"/>
            <w:gridSpan w:val="2"/>
            <w:vAlign w:val="center"/>
          </w:tcPr>
          <w:p>
            <w:pPr>
              <w:snapToGrid w:val="0"/>
              <w:spacing w:line="320" w:lineRule="atLeast"/>
              <w:jc w:val="center"/>
              <w:rPr>
                <w:rFonts w:ascii="宋体" w:hAnsi="宋体" w:eastAsia="宋体" w:cs="宋体"/>
                <w:sz w:val="21"/>
                <w:szCs w:val="21"/>
              </w:rPr>
            </w:pPr>
          </w:p>
        </w:tc>
        <w:tc>
          <w:tcPr>
            <w:tcW w:w="3918" w:type="dxa"/>
            <w:gridSpan w:val="4"/>
            <w:vAlign w:val="center"/>
          </w:tcPr>
          <w:p>
            <w:pPr>
              <w:snapToGrid w:val="0"/>
              <w:spacing w:line="320" w:lineRule="atLeast"/>
              <w:jc w:val="center"/>
              <w:rPr>
                <w:rFonts w:ascii="宋体" w:hAnsi="宋体" w:eastAsia="宋体" w:cs="宋体"/>
                <w:sz w:val="21"/>
                <w:szCs w:val="21"/>
              </w:rPr>
            </w:pPr>
          </w:p>
        </w:tc>
        <w:tc>
          <w:tcPr>
            <w:tcW w:w="2212" w:type="dxa"/>
            <w:gridSpan w:val="2"/>
            <w:vAlign w:val="center"/>
          </w:tcPr>
          <w:p>
            <w:pPr>
              <w:snapToGrid w:val="0"/>
              <w:spacing w:line="320" w:lineRule="atLeast"/>
              <w:jc w:val="center"/>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556" w:type="dxa"/>
            <w:vMerge w:val="continue"/>
            <w:vAlign w:val="center"/>
          </w:tcPr>
          <w:p>
            <w:pPr>
              <w:snapToGrid w:val="0"/>
              <w:spacing w:line="320" w:lineRule="atLeast"/>
              <w:rPr>
                <w:rFonts w:ascii="宋体" w:hAnsi="宋体" w:eastAsia="宋体" w:cs="宋体"/>
                <w:sz w:val="21"/>
                <w:szCs w:val="21"/>
              </w:rPr>
            </w:pPr>
          </w:p>
        </w:tc>
        <w:tc>
          <w:tcPr>
            <w:tcW w:w="1838" w:type="dxa"/>
            <w:gridSpan w:val="2"/>
            <w:vAlign w:val="center"/>
          </w:tcPr>
          <w:p>
            <w:pPr>
              <w:snapToGrid w:val="0"/>
              <w:spacing w:line="320" w:lineRule="atLeast"/>
              <w:jc w:val="center"/>
              <w:rPr>
                <w:rFonts w:ascii="宋体" w:hAnsi="宋体" w:eastAsia="宋体" w:cs="宋体"/>
                <w:sz w:val="21"/>
                <w:szCs w:val="21"/>
              </w:rPr>
            </w:pPr>
          </w:p>
        </w:tc>
        <w:tc>
          <w:tcPr>
            <w:tcW w:w="3918" w:type="dxa"/>
            <w:gridSpan w:val="4"/>
            <w:vAlign w:val="center"/>
          </w:tcPr>
          <w:p>
            <w:pPr>
              <w:snapToGrid w:val="0"/>
              <w:spacing w:line="320" w:lineRule="atLeast"/>
              <w:jc w:val="center"/>
              <w:rPr>
                <w:rFonts w:ascii="宋体" w:hAnsi="宋体" w:eastAsia="宋体" w:cs="宋体"/>
                <w:sz w:val="21"/>
                <w:szCs w:val="21"/>
              </w:rPr>
            </w:pPr>
          </w:p>
        </w:tc>
        <w:tc>
          <w:tcPr>
            <w:tcW w:w="2212" w:type="dxa"/>
            <w:gridSpan w:val="2"/>
            <w:vAlign w:val="center"/>
          </w:tcPr>
          <w:p>
            <w:pPr>
              <w:snapToGrid w:val="0"/>
              <w:spacing w:line="320" w:lineRule="atLeast"/>
              <w:jc w:val="center"/>
              <w:rPr>
                <w:rFonts w:ascii="宋体" w:hAnsi="宋体" w:eastAsia="宋体" w:cs="宋体"/>
                <w:sz w:val="21"/>
                <w:szCs w:val="21"/>
              </w:rPr>
            </w:pPr>
          </w:p>
        </w:tc>
      </w:tr>
    </w:tbl>
    <w:p>
      <w:pPr>
        <w:outlineLvl w:val="0"/>
        <w:rPr>
          <w:rFonts w:ascii="宋体" w:hAnsi="宋体" w:eastAsia="宋体"/>
          <w:b/>
          <w:sz w:val="28"/>
        </w:rPr>
      </w:pPr>
      <w:r>
        <w:br w:type="page"/>
      </w:r>
    </w:p>
    <w:tbl>
      <w:tblPr>
        <w:tblStyle w:val="9"/>
        <w:tblW w:w="8931"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4"/>
        <w:gridCol w:w="60"/>
        <w:gridCol w:w="53"/>
        <w:gridCol w:w="2100"/>
        <w:gridCol w:w="2182"/>
        <w:gridCol w:w="48"/>
        <w:gridCol w:w="206"/>
        <w:gridCol w:w="1495"/>
        <w:gridCol w:w="550"/>
        <w:gridCol w:w="12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10"/>
          </w:tcPr>
          <w:p>
            <w:pPr>
              <w:outlineLvl w:val="0"/>
              <w:rPr>
                <w:rFonts w:ascii="Times New Roman" w:hAnsi="Times New Roman" w:eastAsia="黑体"/>
                <w:sz w:val="30"/>
                <w:szCs w:val="30"/>
              </w:rPr>
            </w:pPr>
            <w:r>
              <w:rPr>
                <w:rFonts w:ascii="宋体" w:hAnsi="宋体" w:eastAsia="宋体"/>
                <w:b/>
                <w:sz w:val="30"/>
              </w:rPr>
              <w:t>二、</w:t>
            </w:r>
            <w:r>
              <w:rPr>
                <w:rFonts w:hint="eastAsia" w:ascii="宋体" w:hAnsi="宋体" w:eastAsia="宋体"/>
                <w:b/>
                <w:sz w:val="30"/>
              </w:rPr>
              <w:t>立德</w:t>
            </w:r>
            <w:r>
              <w:rPr>
                <w:rFonts w:ascii="宋体" w:hAnsi="宋体" w:eastAsia="宋体"/>
                <w:b/>
                <w:sz w:val="30"/>
              </w:rPr>
              <w:t>树人成效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8931" w:type="dxa"/>
            <w:gridSpan w:val="10"/>
          </w:tcPr>
          <w:p>
            <w:pPr>
              <w:jc w:val="left"/>
              <w:rPr>
                <w:rFonts w:ascii="宋体" w:hAnsi="宋体" w:cs="宋体"/>
                <w:kern w:val="0"/>
                <w:sz w:val="24"/>
                <w:szCs w:val="24"/>
              </w:rPr>
            </w:pPr>
            <w:r>
              <w:rPr>
                <w:rFonts w:hint="eastAsia" w:ascii="黑体" w:hAnsi="黑体" w:eastAsia="黑体"/>
                <w:sz w:val="24"/>
                <w:szCs w:val="24"/>
              </w:rPr>
              <w:t>1</w:t>
            </w:r>
            <w:r>
              <w:rPr>
                <w:rFonts w:ascii="黑体" w:hAnsi="黑体" w:eastAsia="黑体"/>
                <w:sz w:val="24"/>
                <w:szCs w:val="24"/>
              </w:rPr>
              <w:t>.概述</w:t>
            </w:r>
            <w:r>
              <w:rPr>
                <w:rFonts w:hint="eastAsia" w:ascii="黑体" w:hAnsi="黑体" w:eastAsia="黑体"/>
                <w:sz w:val="24"/>
                <w:szCs w:val="24"/>
              </w:rPr>
              <w:t>（围绕“坚定理想信念、厚植爱国主义情怀、加强品德修养、增长知识见识、培养奋斗精神、增强综合素质”育人目标，将立德树人融入思想道德教育、文化知识教育、社会实践教育等各环节的情况，以及在课程体系、教学体系、教材体系、实践育人体系建设中的创新举措和取得的主要成效，</w:t>
            </w:r>
            <w:r>
              <w:rPr>
                <w:rFonts w:ascii="黑体" w:hAnsi="黑体" w:eastAsia="黑体"/>
                <w:sz w:val="24"/>
                <w:szCs w:val="24"/>
              </w:rPr>
              <w:t>不超过一页</w:t>
            </w:r>
            <w:r>
              <w:rPr>
                <w:rFonts w:hint="eastAsia" w:ascii="黑体" w:hAnsi="黑体" w:eastAsia="黑体"/>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872" w:hRule="exact"/>
        </w:trPr>
        <w:tc>
          <w:tcPr>
            <w:tcW w:w="8931" w:type="dxa"/>
            <w:gridSpan w:val="10"/>
          </w:tcPr>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 xml:space="preserve">    结合学院“立人先立德”的要求，我坚持师生同题共答、全程同向发力、教学科研同频共振的育人思想，以“三同”思政育人模式贯穿教学与科研生活，培养具有“中国灵魂、全球视野、河海特质”的新时代水利行业信息技术创新领域人才。</w:t>
            </w:r>
          </w:p>
          <w:p>
            <w:pPr>
              <w:ind w:firstLine="480" w:firstLineChars="200"/>
              <w:jc w:val="left"/>
              <w:rPr>
                <w:rFonts w:hint="default" w:ascii="楷体" w:hAnsi="楷体" w:eastAsia="楷体"/>
                <w:sz w:val="24"/>
                <w:szCs w:val="24"/>
                <w:lang w:val="en-US" w:eastAsia="zh-CN"/>
              </w:rPr>
            </w:pPr>
            <w:r>
              <w:rPr>
                <w:rFonts w:hint="eastAsia" w:ascii="楷体" w:hAnsi="楷体" w:eastAsia="楷体"/>
                <w:sz w:val="24"/>
                <w:szCs w:val="24"/>
                <w:lang w:val="en-US" w:eastAsia="zh-CN"/>
              </w:rPr>
              <w:t>在思想道德教育方面，将政治认同、家国情怀、文化素养、法治意识、道德修养、计算机自主创新历史使命、学校百年历史文脉传承等思政元素有机融入专业课程教学、教材资源建设中。例如在数字图像处理课堂上，与同学们探讨如何应对外国敌对势力的信息技术封锁，通过引导与鼓励学生自主创新、为中华崛起而读书的精神，将理想信念、爱国主义情怀、奋斗精神教育与信息技术课程紧密结合在一起。</w:t>
            </w:r>
          </w:p>
          <w:p>
            <w:pPr>
              <w:ind w:firstLine="480" w:firstLineChars="200"/>
              <w:jc w:val="left"/>
              <w:rPr>
                <w:rFonts w:hint="default" w:ascii="楷体" w:hAnsi="楷体" w:eastAsia="楷体"/>
                <w:sz w:val="24"/>
                <w:szCs w:val="24"/>
                <w:lang w:val="en-US" w:eastAsia="zh-CN"/>
              </w:rPr>
            </w:pPr>
            <w:r>
              <w:rPr>
                <w:rFonts w:hint="eastAsia" w:ascii="楷体" w:hAnsi="楷体" w:eastAsia="楷体"/>
                <w:sz w:val="24"/>
                <w:szCs w:val="24"/>
                <w:lang w:val="en-US" w:eastAsia="zh-CN"/>
              </w:rPr>
              <w:t>在文化知识教育方面，结合水利大数据研究所申报的与民生社稷息息相关的水专题重点研发项目，以计算机与人工智能技术如何改变水利行业、提升行业智慧化水平为脉络，以学以致用、造福人民为知识教授目的，从科学与社会价值角度讲授计算机科学及人工智能知识，增加知识趣味，丰富知识内涵，加强知识与实践应用联系，增强学生学习动力，达到增长学生的知识见识，增强综合素质的目的。</w:t>
            </w:r>
          </w:p>
          <w:p>
            <w:pPr>
              <w:ind w:firstLine="480" w:firstLineChars="200"/>
              <w:jc w:val="left"/>
              <w:rPr>
                <w:rFonts w:hint="eastAsia" w:ascii="楷体" w:hAnsi="楷体" w:eastAsia="楷体"/>
                <w:sz w:val="24"/>
                <w:szCs w:val="24"/>
                <w:lang w:val="en-US" w:eastAsia="zh-CN"/>
              </w:rPr>
            </w:pPr>
            <w:r>
              <w:rPr>
                <w:rFonts w:hint="eastAsia" w:ascii="楷体" w:hAnsi="楷体" w:eastAsia="楷体"/>
                <w:sz w:val="24"/>
                <w:szCs w:val="24"/>
                <w:lang w:val="en-US" w:eastAsia="zh-CN"/>
              </w:rPr>
              <w:t>在社会实践教育方面，主办了</w:t>
            </w:r>
            <w:r>
              <w:rPr>
                <w:rFonts w:hint="default" w:ascii="Times New Roman" w:hAnsi="Times New Roman" w:eastAsia="楷体" w:cs="Times New Roman"/>
                <w:sz w:val="24"/>
                <w:szCs w:val="24"/>
                <w:lang w:val="en-US" w:eastAsia="zh-CN"/>
              </w:rPr>
              <w:t>CCF-YOCSEF</w:t>
            </w:r>
            <w:r>
              <w:rPr>
                <w:rFonts w:hint="eastAsia" w:ascii="楷体" w:hAnsi="楷体" w:eastAsia="楷体"/>
                <w:sz w:val="24"/>
                <w:szCs w:val="24"/>
                <w:lang w:val="en-US" w:eastAsia="zh-CN"/>
              </w:rPr>
              <w:t>南京钟山论剑论坛“我为信创发声”，邀请了30余位信创一线企业家与教师，以思辨讨论形式言传身教，分析信创企业需求，信创与大学教育的联动关系，强化学生们作为信创人才的使命担当感。依托学校行业优势，做好带队老师的职责，组织学生深入以深圳水务局、深圳河湾管理中心、黄河水利委员会为代表的水利行业一线开展社会实践，了解重大水利工程建设、水资源管理、水环境治理、水污染防治、水生态修复等国家治水方略所蕴含的核心创新需求与挑战，激励学生传承先贤治水兴邦精神、增强科技强国使命担当。</w:t>
            </w:r>
          </w:p>
          <w:p>
            <w:pPr>
              <w:ind w:firstLine="480" w:firstLineChars="200"/>
              <w:jc w:val="left"/>
              <w:rPr>
                <w:rFonts w:hint="eastAsia" w:ascii="楷体" w:hAnsi="楷体" w:eastAsia="楷体"/>
                <w:sz w:val="24"/>
                <w:szCs w:val="24"/>
                <w:lang w:val="en-US" w:eastAsia="zh-CN"/>
              </w:rPr>
            </w:pPr>
            <w:r>
              <w:rPr>
                <w:rFonts w:hint="eastAsia" w:ascii="楷体" w:hAnsi="楷体" w:eastAsia="楷体"/>
                <w:sz w:val="24"/>
                <w:szCs w:val="24"/>
                <w:lang w:val="en-US" w:eastAsia="zh-CN"/>
              </w:rPr>
              <w:t>在课程体系建设中，参与了计算机科学与技术专业认证评估，在评估中理解了</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专业认证中的底线思维，以最优化方案培养每一位同学为目的，不断改革专业教学内容、教学方法和教学管理。基于上述认知，编写了本硕数字图像处理、计算机视觉等课程教学大纲，并将专业认证传达的思想融入自我的日常教学中。</w:t>
            </w:r>
          </w:p>
          <w:p>
            <w:pPr>
              <w:ind w:firstLine="480" w:firstLineChars="200"/>
              <w:jc w:val="left"/>
              <w:rPr>
                <w:rFonts w:hint="default" w:ascii="楷体" w:hAnsi="楷体" w:eastAsia="楷体"/>
                <w:sz w:val="24"/>
                <w:szCs w:val="24"/>
                <w:lang w:val="en-US" w:eastAsia="zh-CN"/>
              </w:rPr>
            </w:pPr>
            <w:r>
              <w:rPr>
                <w:rFonts w:hint="eastAsia" w:ascii="楷体" w:hAnsi="楷体" w:eastAsia="楷体"/>
                <w:sz w:val="24"/>
                <w:szCs w:val="24"/>
                <w:lang w:val="en-US" w:eastAsia="zh-CN"/>
              </w:rPr>
              <w:t>在教材体系建设中，在教学中发现、总结、思考知识讲授相关问题，以教材编写为突破口，将自己对专业知识教育的思考完整的融入教材编写过程中，以教材为导向，提升教学质量，解决知识讲授相关问题。现与河海大学出版社签订教材编写合同一份，以明年开始第一轮讲授自编教材为目标而积极准备。</w:t>
            </w:r>
          </w:p>
          <w:p>
            <w:pPr>
              <w:ind w:firstLine="480" w:firstLineChars="200"/>
              <w:jc w:val="left"/>
              <w:rPr>
                <w:rFonts w:hint="default" w:ascii="楷体" w:hAnsi="楷体" w:eastAsia="楷体"/>
                <w:sz w:val="24"/>
                <w:szCs w:val="24"/>
                <w:lang w:val="en-US" w:eastAsia="zh-CN"/>
              </w:rPr>
            </w:pPr>
            <w:r>
              <w:rPr>
                <w:rFonts w:hint="eastAsia" w:ascii="楷体" w:hAnsi="楷体" w:eastAsia="楷体"/>
                <w:sz w:val="24"/>
                <w:szCs w:val="24"/>
                <w:lang w:val="en-US" w:eastAsia="zh-CN"/>
              </w:rPr>
              <w:t>在教学体系建设中，持续性的开展翻转课堂建设，引入同学讲授后的互动</w:t>
            </w:r>
            <w:r>
              <w:rPr>
                <w:rFonts w:hint="default" w:ascii="Times New Roman" w:hAnsi="Times New Roman" w:eastAsia="楷体" w:cs="Times New Roman"/>
                <w:sz w:val="24"/>
                <w:szCs w:val="24"/>
                <w:lang w:val="en-US" w:eastAsia="zh-CN"/>
              </w:rPr>
              <w:t>QA</w:t>
            </w:r>
            <w:r>
              <w:rPr>
                <w:rFonts w:hint="eastAsia" w:ascii="楷体" w:hAnsi="楷体" w:eastAsia="楷体"/>
                <w:sz w:val="24"/>
                <w:szCs w:val="24"/>
                <w:lang w:val="en-US" w:eastAsia="zh-CN"/>
              </w:rPr>
              <w:t>及点评环节。一位同学为传道授业解惑者，我与其他同学皆为提问讨论者。化被动接受知识为主动学习，在模拟教学过程中，加深知识的理解，增添课堂趣味。申报河海大学研究生线上课程，录制教学视频，设计了增加互动性的问答、课外知识等，引导学生在疫情期间掌握学习脉络，在保证传授质量的前提下，快捷获取知识。</w:t>
            </w:r>
          </w:p>
          <w:p>
            <w:pPr>
              <w:ind w:firstLine="480" w:firstLineChars="200"/>
              <w:jc w:val="left"/>
              <w:rPr>
                <w:rFonts w:hint="eastAsia" w:ascii="楷体" w:hAnsi="楷体" w:eastAsia="楷体"/>
                <w:sz w:val="24"/>
                <w:szCs w:val="24"/>
                <w:lang w:val="en-US" w:eastAsia="zh-CN"/>
              </w:rPr>
            </w:pPr>
            <w:r>
              <w:rPr>
                <w:rFonts w:hint="eastAsia" w:ascii="楷体" w:hAnsi="楷体" w:eastAsia="楷体"/>
                <w:sz w:val="24"/>
                <w:szCs w:val="24"/>
                <w:lang w:val="en-US" w:eastAsia="zh-CN"/>
              </w:rPr>
              <w:t>在实践育人体系建设中，以创训为抓手，延生知识讲授至创新实践，获批国家级、省级、校级创新创业训练项目各一项，其中省级项目以优秀结题。担当大数据所支部书记，以信息技术为纽带，实现师生各级党组织动态全链接，实现党建服务在基层一线；参与扶贫帮扶实践，组织学生深入水利行业一线开展社会实践，了解治水方略所蕴含的核心创新需求与挑战，理解交叉融合和科技创新的内涵。</w:t>
            </w:r>
          </w:p>
          <w:p>
            <w:pPr>
              <w:jc w:val="left"/>
              <w:rPr>
                <w:rFonts w:hint="eastAsia" w:ascii="楷体" w:hAnsi="楷体" w:eastAsia="楷体"/>
                <w:sz w:val="24"/>
                <w:szCs w:val="24"/>
                <w:lang w:val="en-US" w:eastAsia="zh-CN"/>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8931" w:type="dxa"/>
            <w:gridSpan w:val="10"/>
            <w:vAlign w:val="center"/>
          </w:tcPr>
          <w:p>
            <w:pPr>
              <w:jc w:val="left"/>
              <w:rPr>
                <w:rFonts w:ascii="宋体" w:hAnsi="宋体" w:cs="宋体"/>
                <w:kern w:val="0"/>
                <w:sz w:val="24"/>
                <w:szCs w:val="24"/>
              </w:rPr>
            </w:pPr>
            <w:r>
              <w:rPr>
                <w:rFonts w:ascii="黑体" w:hAnsi="黑体" w:eastAsia="黑体"/>
                <w:sz w:val="24"/>
                <w:szCs w:val="24"/>
              </w:rPr>
              <w:t>2.</w:t>
            </w:r>
            <w:r>
              <w:rPr>
                <w:rFonts w:hint="eastAsia" w:ascii="黑体" w:hAnsi="黑体" w:eastAsia="黑体"/>
                <w:sz w:val="24"/>
                <w:szCs w:val="24"/>
              </w:rPr>
              <w:t>开</w:t>
            </w:r>
            <w:r>
              <w:rPr>
                <w:rFonts w:ascii="黑体" w:hAnsi="黑体" w:eastAsia="黑体"/>
                <w:sz w:val="24"/>
                <w:szCs w:val="24"/>
              </w:rPr>
              <w:t>设课程</w:t>
            </w:r>
            <w:r>
              <w:rPr>
                <w:rFonts w:hint="eastAsia" w:ascii="宋体" w:hAnsi="宋体" w:cs="宋体"/>
                <w:kern w:val="0"/>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7" w:hRule="exact"/>
        </w:trPr>
        <w:tc>
          <w:tcPr>
            <w:tcW w:w="8931" w:type="dxa"/>
            <w:gridSpan w:val="10"/>
          </w:tcPr>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智能科学与技术本科生专业必修课：数字图像处理</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计算机科学与技术本科生核心必修课：计算机组成与体系结构</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计算机科学与技术本科生专业选修课：数字图像处理</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计算机科学与技术学硕专业选修课：数字图像处理</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电子信息工程专业硕士专业选修课：数字图像处理</w:t>
            </w:r>
          </w:p>
          <w:p>
            <w:pPr>
              <w:jc w:val="left"/>
              <w:rPr>
                <w:rFonts w:hint="default" w:ascii="楷体" w:hAnsi="楷体" w:eastAsia="楷体"/>
                <w:sz w:val="24"/>
                <w:szCs w:val="24"/>
                <w:lang w:val="en-US" w:eastAsia="zh-CN"/>
              </w:rPr>
            </w:pPr>
            <w:r>
              <w:rPr>
                <w:rFonts w:hint="eastAsia" w:ascii="楷体" w:hAnsi="楷体" w:eastAsia="楷体"/>
                <w:sz w:val="24"/>
                <w:szCs w:val="24"/>
                <w:lang w:val="en-US" w:eastAsia="zh-CN"/>
              </w:rPr>
              <w:t>1.本科课程深受同学喜爱，选修规模超过150人。</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2.研究生“数字图像处理”入选河海大学在线课程建设，教学过程引入翻转课堂</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3.设立了在线课程网站，用于补充内容、习题指导、课件下载。</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4</w:t>
            </w:r>
            <w:bookmarkStart w:id="2" w:name="_GoBack"/>
            <w:bookmarkEnd w:id="2"/>
            <w:r>
              <w:rPr>
                <w:rFonts w:hint="eastAsia" w:ascii="楷体" w:hAnsi="楷体" w:eastAsia="楷体"/>
                <w:sz w:val="24"/>
                <w:szCs w:val="24"/>
                <w:lang w:val="en-US" w:eastAsia="zh-CN"/>
              </w:rPr>
              <w:t>.以创训为抓手，延生课程教学至创新实践，获批国家级、省级、校级创新创业训练项目各一项，其中省级项目以优秀结题。指导本科同学何粤超以二作身份(</w:t>
            </w:r>
            <w:r>
              <w:rPr>
                <w:rFonts w:hint="default" w:ascii="Times New Roman" w:hAnsi="Times New Roman" w:eastAsia="楷体" w:cs="Times New Roman"/>
                <w:sz w:val="24"/>
                <w:szCs w:val="24"/>
                <w:lang w:val="en-US" w:eastAsia="zh-CN"/>
              </w:rPr>
              <w:t>导师一作</w:t>
            </w:r>
            <w:r>
              <w:rPr>
                <w:rFonts w:hint="eastAsia" w:ascii="楷体" w:hAnsi="楷体" w:eastAsia="楷体"/>
                <w:sz w:val="24"/>
                <w:szCs w:val="24"/>
                <w:lang w:val="en-US" w:eastAsia="zh-CN"/>
              </w:rPr>
              <w:t>)发表</w:t>
            </w:r>
            <w:r>
              <w:rPr>
                <w:rFonts w:hint="default" w:ascii="Times New Roman" w:hAnsi="Times New Roman" w:eastAsia="楷体" w:cs="Times New Roman"/>
                <w:sz w:val="24"/>
                <w:szCs w:val="24"/>
                <w:lang w:val="en-US" w:eastAsia="zh-CN"/>
              </w:rPr>
              <w:t>SCI</w:t>
            </w:r>
            <w:r>
              <w:rPr>
                <w:rFonts w:hint="eastAsia" w:ascii="楷体" w:hAnsi="楷体" w:eastAsia="楷体"/>
                <w:sz w:val="24"/>
                <w:szCs w:val="24"/>
                <w:lang w:val="en-US" w:eastAsia="zh-CN"/>
              </w:rPr>
              <w:t>论文一篇，申请专利一项，葛岚波以二作身份(</w:t>
            </w:r>
            <w:r>
              <w:rPr>
                <w:rFonts w:hint="default" w:ascii="Times New Roman" w:hAnsi="Times New Roman" w:eastAsia="楷体" w:cs="Times New Roman"/>
                <w:sz w:val="24"/>
                <w:szCs w:val="24"/>
                <w:lang w:val="en-US" w:eastAsia="zh-CN"/>
              </w:rPr>
              <w:t>导师一作</w:t>
            </w:r>
            <w:r>
              <w:rPr>
                <w:rFonts w:hint="eastAsia" w:ascii="楷体" w:hAnsi="楷体" w:eastAsia="楷体"/>
                <w:sz w:val="24"/>
                <w:szCs w:val="24"/>
                <w:lang w:val="en-US" w:eastAsia="zh-CN"/>
              </w:rPr>
              <w:t>)发表</w:t>
            </w:r>
            <w:r>
              <w:rPr>
                <w:rFonts w:hint="default" w:ascii="Times New Roman" w:hAnsi="Times New Roman" w:eastAsia="楷体" w:cs="Times New Roman"/>
                <w:sz w:val="24"/>
                <w:szCs w:val="24"/>
                <w:lang w:val="en-US" w:eastAsia="zh-CN"/>
              </w:rPr>
              <w:t>EI</w:t>
            </w:r>
            <w:r>
              <w:rPr>
                <w:rFonts w:hint="eastAsia" w:ascii="楷体" w:hAnsi="楷体" w:eastAsia="楷体"/>
                <w:sz w:val="24"/>
                <w:szCs w:val="24"/>
                <w:lang w:val="en-US" w:eastAsia="zh-CN"/>
              </w:rPr>
              <w:t>论文一篇，申请专利一项。</w:t>
            </w:r>
          </w:p>
          <w:p>
            <w:pPr>
              <w:jc w:val="left"/>
              <w:rPr>
                <w:rFonts w:hint="default" w:ascii="楷体" w:hAnsi="楷体" w:eastAsia="楷体"/>
                <w:sz w:val="24"/>
                <w:szCs w:val="24"/>
                <w:lang w:val="en-US" w:eastAsia="zh-CN"/>
              </w:rPr>
            </w:pPr>
            <w:r>
              <w:rPr>
                <w:rFonts w:hint="eastAsia" w:ascii="楷体" w:hAnsi="楷体" w:eastAsia="楷体"/>
                <w:sz w:val="24"/>
                <w:szCs w:val="24"/>
                <w:lang w:val="en-US" w:eastAsia="zh-CN"/>
              </w:rPr>
              <w:t>5.被评为河海大学2020届本科毕业论文优秀指导老师。</w:t>
            </w:r>
          </w:p>
          <w:p>
            <w:pPr>
              <w:jc w:val="left"/>
              <w:rPr>
                <w:rFonts w:hint="default" w:ascii="楷体" w:hAnsi="楷体" w:eastAsia="楷体"/>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8931" w:type="dxa"/>
            <w:gridSpan w:val="10"/>
            <w:vAlign w:val="center"/>
          </w:tcPr>
          <w:p>
            <w:pPr>
              <w:adjustRightInd w:val="0"/>
              <w:textAlignment w:val="baseline"/>
              <w:rPr>
                <w:rFonts w:ascii="Times New Roman" w:hAnsi="Times New Roman" w:eastAsia="黑体"/>
                <w:sz w:val="30"/>
                <w:szCs w:val="30"/>
              </w:rPr>
            </w:pPr>
            <w:r>
              <w:rPr>
                <w:rFonts w:hint="eastAsia" w:ascii="黑体" w:hAnsi="黑体" w:eastAsia="黑体"/>
                <w:sz w:val="24"/>
                <w:szCs w:val="24"/>
              </w:rPr>
              <w:t>3.指导</w:t>
            </w:r>
            <w:r>
              <w:rPr>
                <w:rFonts w:ascii="黑体" w:hAnsi="黑体" w:eastAsia="黑体"/>
                <w:sz w:val="24"/>
                <w:szCs w:val="24"/>
              </w:rPr>
              <w:t>研究生情况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5" w:hRule="atLeast"/>
        </w:trPr>
        <w:tc>
          <w:tcPr>
            <w:tcW w:w="8931" w:type="dxa"/>
            <w:gridSpan w:val="10"/>
          </w:tcPr>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指导20级计算机技术硕士3人，软件工程硕士1人（已毕业）</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指导21级计算机技术硕士3人，软件工程硕士1人（已毕业）</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指导22级计算机科学与技术硕士1人，22级电子信息工程硕士1人</w:t>
            </w:r>
          </w:p>
          <w:p>
            <w:pPr>
              <w:jc w:val="left"/>
              <w:rPr>
                <w:rFonts w:hint="default" w:ascii="楷体" w:hAnsi="楷体" w:eastAsia="楷体"/>
                <w:sz w:val="24"/>
                <w:szCs w:val="24"/>
                <w:lang w:val="en-US" w:eastAsia="zh-CN"/>
              </w:rPr>
            </w:pPr>
            <w:r>
              <w:rPr>
                <w:rFonts w:hint="eastAsia" w:ascii="楷体" w:hAnsi="楷体" w:eastAsia="楷体"/>
                <w:sz w:val="24"/>
                <w:szCs w:val="24"/>
                <w:lang w:val="en-US" w:eastAsia="zh-CN"/>
              </w:rPr>
              <w:t>指导23级计算机科学与技术硕士2人</w:t>
            </w:r>
          </w:p>
          <w:p>
            <w:pPr>
              <w:jc w:val="left"/>
              <w:rPr>
                <w:rFonts w:hint="eastAsia" w:ascii="楷体" w:hAnsi="楷体" w:eastAsia="楷体"/>
                <w:sz w:val="24"/>
                <w:szCs w:val="24"/>
                <w:lang w:val="en-US" w:eastAsia="zh-CN"/>
              </w:rPr>
            </w:pPr>
            <w:r>
              <w:rPr>
                <w:rFonts w:hint="eastAsia" w:ascii="楷体" w:hAnsi="楷体" w:eastAsia="楷体"/>
                <w:sz w:val="24"/>
                <w:szCs w:val="24"/>
                <w:lang w:val="en-US" w:eastAsia="zh-CN"/>
              </w:rPr>
              <w:t>指导24级计算机科学与技术硕士2人，</w:t>
            </w:r>
            <w:r>
              <w:rPr>
                <w:rFonts w:hint="default" w:ascii="楷体" w:hAnsi="楷体" w:eastAsia="楷体"/>
                <w:sz w:val="24"/>
                <w:szCs w:val="24"/>
                <w:lang w:val="en-US" w:eastAsia="zh-CN"/>
              </w:rPr>
              <w:t>模式识别与智能系统</w:t>
            </w:r>
            <w:r>
              <w:rPr>
                <w:rFonts w:hint="eastAsia" w:ascii="楷体" w:hAnsi="楷体" w:eastAsia="楷体"/>
                <w:sz w:val="24"/>
                <w:szCs w:val="24"/>
                <w:lang w:val="en-US" w:eastAsia="zh-CN"/>
              </w:rPr>
              <w:t>硕士1人。</w:t>
            </w:r>
          </w:p>
          <w:p>
            <w:pPr>
              <w:jc w:val="left"/>
              <w:rPr>
                <w:rFonts w:hint="eastAsia" w:ascii="楷体" w:hAnsi="楷体" w:eastAsia="楷体"/>
                <w:sz w:val="24"/>
                <w:szCs w:val="24"/>
                <w:lang w:val="en-US" w:eastAsia="zh-CN"/>
              </w:rPr>
            </w:pPr>
          </w:p>
          <w:p>
            <w:pPr>
              <w:jc w:val="left"/>
              <w:rPr>
                <w:rFonts w:hint="default" w:ascii="Times New Roman" w:hAnsi="Times New Roman" w:eastAsia="楷体" w:cs="Times New Roman"/>
                <w:sz w:val="24"/>
                <w:szCs w:val="24"/>
                <w:lang w:val="en-US" w:eastAsia="zh-CN"/>
              </w:rPr>
            </w:pPr>
            <w:r>
              <w:rPr>
                <w:rFonts w:hint="eastAsia" w:ascii="楷体" w:hAnsi="楷体" w:eastAsia="楷体"/>
                <w:sz w:val="24"/>
                <w:szCs w:val="24"/>
                <w:lang w:val="en-US" w:eastAsia="zh-CN"/>
              </w:rPr>
              <w:t>23级学硕师广琛以一作身份发表</w:t>
            </w:r>
            <w:r>
              <w:rPr>
                <w:rFonts w:hint="default" w:ascii="Times New Roman" w:hAnsi="Times New Roman" w:eastAsia="楷体" w:cs="Times New Roman"/>
                <w:sz w:val="24"/>
                <w:szCs w:val="24"/>
                <w:lang w:val="en-US" w:eastAsia="zh-CN"/>
              </w:rPr>
              <w:t>CCF-B英文论文一篇，CCF-B中文论文一篇，所主持的“林业有害生物智能识别”项目荣获第十届“中国软件杯”大学生软件设计大赛总决赛二等奖。</w:t>
            </w:r>
          </w:p>
          <w:p>
            <w:pPr>
              <w:jc w:val="left"/>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22级学硕孔其然一作身份发表CCF-B英文论文一篇，一篇论文被IEEE EUC评为唯一最佳论文奖，被学部官网转载报道，申请专利一项。</w:t>
            </w:r>
          </w:p>
          <w:p>
            <w:pPr>
              <w:jc w:val="left"/>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21级专硕刘文翔二作身份(导师一作)发表CCF-C英文论文一篇，一篇二作论文(导师一作)被</w:t>
            </w:r>
            <w:r>
              <w:rPr>
                <w:rFonts w:hint="default" w:ascii="Times New Roman" w:hAnsi="Times New Roman" w:eastAsia="楷体" w:cs="Times New Roman"/>
                <w:sz w:val="24"/>
                <w:lang w:val="en-US" w:eastAsia="zh-CN"/>
              </w:rPr>
              <w:t>中国计算机学会多媒体领域旗舰会议ChinaMM2021评为最佳墙报奖,</w:t>
            </w:r>
            <w:r>
              <w:rPr>
                <w:rFonts w:hint="default" w:ascii="Times New Roman" w:hAnsi="Times New Roman" w:eastAsia="楷体" w:cs="Times New Roman"/>
                <w:sz w:val="24"/>
                <w:szCs w:val="24"/>
                <w:lang w:val="en-US" w:eastAsia="zh-CN"/>
              </w:rPr>
              <w:t>申请专利一项。</w:t>
            </w:r>
          </w:p>
          <w:p>
            <w:pPr>
              <w:jc w:val="left"/>
              <w:rPr>
                <w:rFonts w:hint="default" w:ascii="Times New Roman" w:hAnsi="Times New Roman" w:eastAsia="楷体" w:cs="Times New Roman"/>
                <w:sz w:val="24"/>
                <w:szCs w:val="24"/>
                <w:lang w:val="en-US" w:eastAsia="zh-CN"/>
              </w:rPr>
            </w:pPr>
            <w:r>
              <w:rPr>
                <w:rFonts w:hint="eastAsia" w:ascii="Times New Roman" w:hAnsi="Times New Roman" w:eastAsia="楷体" w:cs="Times New Roman"/>
                <w:sz w:val="24"/>
                <w:szCs w:val="24"/>
                <w:lang w:val="en-US" w:eastAsia="zh-CN"/>
              </w:rPr>
              <w:t>23级学硕吴本泽</w:t>
            </w:r>
            <w:r>
              <w:rPr>
                <w:rFonts w:hint="eastAsia" w:ascii="楷体" w:hAnsi="楷体" w:eastAsia="楷体"/>
                <w:sz w:val="24"/>
                <w:szCs w:val="24"/>
                <w:lang w:val="en-US" w:eastAsia="zh-CN"/>
              </w:rPr>
              <w:t>以一作身份发表</w:t>
            </w:r>
            <w:r>
              <w:rPr>
                <w:rFonts w:hint="default" w:ascii="Times New Roman" w:hAnsi="Times New Roman" w:eastAsia="楷体" w:cs="Times New Roman"/>
                <w:sz w:val="24"/>
                <w:szCs w:val="24"/>
                <w:lang w:val="en-US" w:eastAsia="zh-CN"/>
              </w:rPr>
              <w:t>EI</w:t>
            </w:r>
            <w:r>
              <w:rPr>
                <w:rFonts w:hint="eastAsia" w:ascii="楷体" w:hAnsi="楷体" w:eastAsia="楷体"/>
                <w:sz w:val="24"/>
                <w:szCs w:val="24"/>
                <w:lang w:val="en-US" w:eastAsia="zh-CN"/>
              </w:rPr>
              <w:t>论文一篇。</w:t>
            </w:r>
          </w:p>
          <w:p>
            <w:pPr>
              <w:jc w:val="left"/>
              <w:rPr>
                <w:rFonts w:hint="default" w:ascii="Times New Roman" w:hAnsi="Times New Roman" w:eastAsia="楷体" w:cs="Times New Roman"/>
                <w:sz w:val="24"/>
                <w:szCs w:val="24"/>
                <w:lang w:val="en-US" w:eastAsia="zh-CN"/>
              </w:rPr>
            </w:pPr>
            <w:r>
              <w:rPr>
                <w:rFonts w:hint="eastAsia" w:ascii="Times New Roman" w:hAnsi="Times New Roman" w:eastAsia="楷体" w:cs="Times New Roman"/>
                <w:sz w:val="24"/>
                <w:szCs w:val="24"/>
                <w:lang w:val="en-US" w:eastAsia="zh-CN"/>
              </w:rPr>
              <w:t>22级专硕王岩松</w:t>
            </w:r>
            <w:r>
              <w:rPr>
                <w:rFonts w:hint="default" w:ascii="Times New Roman" w:hAnsi="Times New Roman" w:eastAsia="楷体" w:cs="Times New Roman"/>
                <w:sz w:val="24"/>
                <w:szCs w:val="24"/>
                <w:lang w:val="en-US" w:eastAsia="zh-CN"/>
              </w:rPr>
              <w:t>一作身份发表</w:t>
            </w:r>
            <w:r>
              <w:rPr>
                <w:rFonts w:hint="eastAsia" w:ascii="Times New Roman" w:hAnsi="Times New Roman" w:eastAsia="楷体" w:cs="Times New Roman"/>
                <w:sz w:val="24"/>
                <w:szCs w:val="24"/>
                <w:lang w:val="en-US" w:eastAsia="zh-CN"/>
              </w:rPr>
              <w:t>CCF-C</w:t>
            </w:r>
            <w:r>
              <w:rPr>
                <w:rFonts w:hint="default" w:ascii="Times New Roman" w:hAnsi="Times New Roman" w:eastAsia="楷体" w:cs="Times New Roman"/>
                <w:sz w:val="24"/>
                <w:szCs w:val="24"/>
                <w:lang w:val="en-US" w:eastAsia="zh-CN"/>
              </w:rPr>
              <w:t>英文论文一篇</w:t>
            </w:r>
            <w:r>
              <w:rPr>
                <w:rFonts w:hint="eastAsia" w:ascii="Times New Roman" w:hAnsi="Times New Roman" w:eastAsia="楷体" w:cs="Times New Roman"/>
                <w:sz w:val="24"/>
                <w:szCs w:val="24"/>
                <w:lang w:val="en-US" w:eastAsia="zh-CN"/>
              </w:rPr>
              <w:t>。</w:t>
            </w:r>
          </w:p>
          <w:p>
            <w:pPr>
              <w:jc w:val="left"/>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21级专硕郭鸿飞二作身份(导师一作)发表水利中文核心期刊一篇，申请专利一项。</w:t>
            </w:r>
          </w:p>
          <w:p>
            <w:pPr>
              <w:jc w:val="left"/>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21级专硕韩鹏飞二作身份(导师一作)发表三区SCI论文一篇。</w:t>
            </w:r>
          </w:p>
          <w:p>
            <w:pPr>
              <w:jc w:val="left"/>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20级专硕毛文庆二作身份(导师一作)发表CCF-C英文论文一篇。</w:t>
            </w:r>
          </w:p>
          <w:p>
            <w:pPr>
              <w:jc w:val="left"/>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20级专硕余鹏宇一作身份发表EI论文两篇，二作身份(导师一作)发表EI论文一篇。</w:t>
            </w:r>
          </w:p>
          <w:p>
            <w:pPr>
              <w:jc w:val="left"/>
              <w:rPr>
                <w:rFonts w:hint="default" w:ascii="Times New Roman" w:hAnsi="Times New Roman" w:eastAsia="楷体" w:cs="Times New Roman"/>
                <w:sz w:val="24"/>
                <w:szCs w:val="24"/>
                <w:lang w:val="en-US" w:eastAsia="zh-CN"/>
              </w:rPr>
            </w:pPr>
          </w:p>
          <w:p>
            <w:pPr>
              <w:jc w:val="left"/>
              <w:rPr>
                <w:rFonts w:hint="default" w:ascii="Times New Roman" w:hAnsi="Times New Roman" w:eastAsia="楷体" w:cs="Times New Roman"/>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8931" w:type="dxa"/>
            <w:gridSpan w:val="10"/>
            <w:vAlign w:val="center"/>
          </w:tcPr>
          <w:p>
            <w:pPr>
              <w:adjustRightInd w:val="0"/>
              <w:textAlignment w:val="baseline"/>
              <w:rPr>
                <w:rFonts w:ascii="宋体" w:hAnsi="宋体"/>
                <w:szCs w:val="32"/>
              </w:rPr>
            </w:pPr>
            <w:r>
              <w:rPr>
                <w:rFonts w:hint="eastAsia" w:ascii="黑体" w:hAnsi="黑体" w:eastAsia="黑体"/>
                <w:sz w:val="24"/>
                <w:szCs w:val="24"/>
              </w:rPr>
              <w:t>4</w:t>
            </w:r>
            <w:r>
              <w:rPr>
                <w:rFonts w:ascii="黑体" w:hAnsi="黑体" w:eastAsia="黑体"/>
                <w:sz w:val="24"/>
                <w:szCs w:val="24"/>
              </w:rPr>
              <w:t>.教学改革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2" w:hRule="atLeast"/>
        </w:trPr>
        <w:tc>
          <w:tcPr>
            <w:tcW w:w="8931" w:type="dxa"/>
            <w:gridSpan w:val="10"/>
          </w:tcPr>
          <w:p>
            <w:pPr>
              <w:adjustRightInd w:val="0"/>
              <w:jc w:val="left"/>
              <w:textAlignment w:val="baseline"/>
              <w:rPr>
                <w:rFonts w:hint="default" w:ascii="楷体" w:hAnsi="楷体" w:eastAsia="楷体"/>
                <w:sz w:val="24"/>
                <w:szCs w:val="24"/>
                <w:lang w:val="en-US" w:eastAsia="zh-CN"/>
              </w:rPr>
            </w:pPr>
            <w:r>
              <w:rPr>
                <w:rFonts w:hint="eastAsia" w:ascii="楷体" w:hAnsi="楷体" w:eastAsia="楷体"/>
                <w:sz w:val="24"/>
                <w:szCs w:val="24"/>
                <w:lang w:val="en-US" w:eastAsia="zh-CN"/>
              </w:rPr>
              <w:t>立项河海大学研究生教改项目1项，项目类别：在线课程，项目名称：数字图像处理。已完成课程门户的建立，包括</w:t>
            </w:r>
            <w:r>
              <w:rPr>
                <w:rFonts w:hint="default" w:ascii="楷体" w:hAnsi="楷体" w:eastAsia="楷体"/>
                <w:sz w:val="24"/>
                <w:szCs w:val="24"/>
                <w:lang w:val="en-US" w:eastAsia="zh-CN"/>
              </w:rPr>
              <w:t>课程简介、教学大纲、教学团队、课程目标、</w:t>
            </w:r>
            <w:r>
              <w:rPr>
                <w:rFonts w:hint="eastAsia" w:ascii="楷体" w:hAnsi="楷体" w:eastAsia="楷体"/>
                <w:sz w:val="24"/>
                <w:szCs w:val="24"/>
                <w:lang w:val="en-US" w:eastAsia="zh-CN"/>
              </w:rPr>
              <w:t>参考</w:t>
            </w:r>
            <w:r>
              <w:rPr>
                <w:rFonts w:hint="default" w:ascii="楷体" w:hAnsi="楷体" w:eastAsia="楷体"/>
                <w:sz w:val="24"/>
                <w:szCs w:val="24"/>
                <w:lang w:val="en-US" w:eastAsia="zh-CN"/>
              </w:rPr>
              <w:t>教材等；</w:t>
            </w:r>
            <w:r>
              <w:rPr>
                <w:rFonts w:hint="eastAsia" w:ascii="楷体" w:hAnsi="楷体" w:eastAsia="楷体"/>
                <w:sz w:val="24"/>
                <w:szCs w:val="24"/>
                <w:lang w:val="en-US" w:eastAsia="zh-CN"/>
              </w:rPr>
              <w:t>总共设计十章课程内容，已上传内容视频、</w:t>
            </w:r>
            <w:r>
              <w:rPr>
                <w:rFonts w:hint="default" w:ascii="楷体" w:hAnsi="楷体" w:eastAsia="楷体"/>
                <w:sz w:val="24"/>
                <w:szCs w:val="24"/>
                <w:lang w:val="en-US" w:eastAsia="zh-CN"/>
              </w:rPr>
              <w:t>课程教学资源，包括多媒体课件</w:t>
            </w:r>
            <w:r>
              <w:rPr>
                <w:rFonts w:hint="eastAsia" w:ascii="楷体" w:hAnsi="楷体" w:eastAsia="楷体"/>
                <w:sz w:val="24"/>
                <w:szCs w:val="24"/>
                <w:lang w:val="en-US" w:eastAsia="zh-CN"/>
              </w:rPr>
              <w:t>、</w:t>
            </w:r>
            <w:r>
              <w:rPr>
                <w:rFonts w:hint="default" w:ascii="楷体" w:hAnsi="楷体" w:eastAsia="楷体"/>
                <w:sz w:val="24"/>
                <w:szCs w:val="24"/>
                <w:lang w:val="en-US" w:eastAsia="zh-CN"/>
              </w:rPr>
              <w:t>资料库</w:t>
            </w:r>
            <w:r>
              <w:rPr>
                <w:rFonts w:hint="eastAsia" w:ascii="楷体" w:hAnsi="楷体" w:eastAsia="楷体"/>
                <w:sz w:val="24"/>
                <w:szCs w:val="24"/>
                <w:lang w:val="en-US" w:eastAsia="zh-CN"/>
              </w:rPr>
              <w:t>、习题库。课程主页：</w:t>
            </w:r>
            <w:r>
              <w:rPr>
                <w:rFonts w:hint="default" w:ascii="Times New Roman" w:hAnsi="Times New Roman" w:eastAsia="楷体" w:cs="Times New Roman"/>
                <w:sz w:val="24"/>
                <w:szCs w:val="24"/>
                <w:lang w:val="en-US" w:eastAsia="zh-CN"/>
              </w:rPr>
              <w:t>https://mooc1-1.chaoxing.com/course/214286010.html。</w:t>
            </w:r>
          </w:p>
          <w:p>
            <w:pPr>
              <w:adjustRightInd w:val="0"/>
              <w:ind w:firstLine="2160" w:firstLineChars="900"/>
              <w:jc w:val="both"/>
              <w:textAlignment w:val="baseline"/>
              <w:rPr>
                <w:rFonts w:hint="eastAsia" w:ascii="楷体" w:hAnsi="楷体" w:eastAsia="楷体"/>
                <w:sz w:val="24"/>
                <w:szCs w:val="24"/>
                <w:lang w:val="en-US" w:eastAsia="zh-CN"/>
              </w:rPr>
            </w:pPr>
            <w:r>
              <w:rPr>
                <w:rFonts w:hint="eastAsia" w:ascii="楷体" w:hAnsi="楷体" w:eastAsia="楷体"/>
                <w:sz w:val="24"/>
                <w:szCs w:val="24"/>
                <w:lang w:val="en-US" w:eastAsia="zh-CN"/>
              </w:rPr>
              <w:drawing>
                <wp:anchor distT="0" distB="0" distL="114300" distR="114300" simplePos="0" relativeHeight="251661312" behindDoc="0" locked="0" layoutInCell="1" allowOverlap="1">
                  <wp:simplePos x="0" y="0"/>
                  <wp:positionH relativeFrom="column">
                    <wp:posOffset>688975</wp:posOffset>
                  </wp:positionH>
                  <wp:positionV relativeFrom="paragraph">
                    <wp:posOffset>57150</wp:posOffset>
                  </wp:positionV>
                  <wp:extent cx="2543810" cy="1483995"/>
                  <wp:effectExtent l="0" t="0" r="1270" b="9525"/>
                  <wp:wrapTopAndBottom/>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9"/>
                          <a:stretch>
                            <a:fillRect/>
                          </a:stretch>
                        </pic:blipFill>
                        <pic:spPr>
                          <a:xfrm>
                            <a:off x="0" y="0"/>
                            <a:ext cx="2543810" cy="1483995"/>
                          </a:xfrm>
                          <a:prstGeom prst="rect">
                            <a:avLst/>
                          </a:prstGeom>
                          <a:noFill/>
                          <a:ln>
                            <a:noFill/>
                          </a:ln>
                        </pic:spPr>
                      </pic:pic>
                    </a:graphicData>
                  </a:graphic>
                </wp:anchor>
              </w:drawing>
            </w:r>
            <w:r>
              <w:rPr>
                <w:rFonts w:hint="eastAsia" w:ascii="楷体" w:hAnsi="楷体" w:eastAsia="楷体"/>
                <w:sz w:val="24"/>
                <w:szCs w:val="24"/>
                <w:lang w:val="en-US" w:eastAsia="zh-CN"/>
              </w:rPr>
              <w:t>已建立的课程简介</w:t>
            </w:r>
          </w:p>
          <w:p>
            <w:pPr>
              <w:adjustRightInd w:val="0"/>
              <w:ind w:firstLine="1280" w:firstLineChars="400"/>
              <w:jc w:val="both"/>
              <w:textAlignment w:val="baseline"/>
              <w:rPr>
                <w:rFonts w:hint="default" w:ascii="楷体" w:hAnsi="楷体" w:eastAsia="楷体"/>
                <w:sz w:val="24"/>
                <w:szCs w:val="24"/>
                <w:lang w:val="en-US" w:eastAsia="zh-CN"/>
              </w:rPr>
            </w:pPr>
            <w:r>
              <w:drawing>
                <wp:anchor distT="0" distB="0" distL="114300" distR="114300" simplePos="0" relativeHeight="251662336" behindDoc="0" locked="0" layoutInCell="1" allowOverlap="1">
                  <wp:simplePos x="0" y="0"/>
                  <wp:positionH relativeFrom="column">
                    <wp:posOffset>852170</wp:posOffset>
                  </wp:positionH>
                  <wp:positionV relativeFrom="paragraph">
                    <wp:posOffset>88265</wp:posOffset>
                  </wp:positionV>
                  <wp:extent cx="2091690" cy="2553335"/>
                  <wp:effectExtent l="0" t="0" r="11430" b="6985"/>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tretch>
                            <a:fillRect/>
                          </a:stretch>
                        </pic:blipFill>
                        <pic:spPr>
                          <a:xfrm>
                            <a:off x="0" y="0"/>
                            <a:ext cx="2091690" cy="2553335"/>
                          </a:xfrm>
                          <a:prstGeom prst="rect">
                            <a:avLst/>
                          </a:prstGeom>
                          <a:noFill/>
                          <a:ln>
                            <a:noFill/>
                          </a:ln>
                        </pic:spPr>
                      </pic:pic>
                    </a:graphicData>
                  </a:graphic>
                </wp:anchor>
              </w:drawing>
            </w:r>
            <w:r>
              <w:rPr>
                <w:rFonts w:hint="eastAsia" w:ascii="楷体" w:hAnsi="楷体" w:eastAsia="楷体"/>
                <w:sz w:val="24"/>
                <w:szCs w:val="24"/>
                <w:lang w:val="en-US" w:eastAsia="zh-CN"/>
              </w:rPr>
              <w:t>已上传的多媒体课件、资料库及习题库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8931" w:type="dxa"/>
            <w:gridSpan w:val="10"/>
            <w:vAlign w:val="center"/>
          </w:tcPr>
          <w:p>
            <w:pPr>
              <w:adjustRightInd w:val="0"/>
              <w:textAlignment w:val="baseline"/>
              <w:rPr>
                <w:rFonts w:ascii="宋体" w:hAnsi="宋体"/>
                <w:szCs w:val="32"/>
              </w:rPr>
            </w:pPr>
            <w:r>
              <w:rPr>
                <w:rFonts w:hint="eastAsia" w:ascii="黑体" w:hAnsi="黑体" w:eastAsia="黑体"/>
                <w:sz w:val="24"/>
                <w:szCs w:val="24"/>
              </w:rPr>
              <w:t>5</w:t>
            </w:r>
            <w:r>
              <w:rPr>
                <w:rFonts w:ascii="黑体" w:hAnsi="黑体" w:eastAsia="黑体"/>
                <w:sz w:val="24"/>
                <w:szCs w:val="24"/>
              </w:rPr>
              <w:t>.教材编写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7" w:hRule="atLeast"/>
        </w:trPr>
        <w:tc>
          <w:tcPr>
            <w:tcW w:w="8931" w:type="dxa"/>
            <w:gridSpan w:val="10"/>
          </w:tcPr>
          <w:p>
            <w:pPr>
              <w:adjustRightInd w:val="0"/>
              <w:textAlignment w:val="baseline"/>
              <w:rPr>
                <w:rFonts w:hint="default" w:ascii="宋体" w:hAnsi="宋体" w:eastAsia="仿宋_GB2312"/>
                <w:szCs w:val="32"/>
                <w:lang w:val="en-US" w:eastAsia="zh-CN"/>
              </w:rPr>
            </w:pPr>
            <w:r>
              <w:rPr>
                <w:rFonts w:hint="eastAsia" w:ascii="楷体" w:hAnsi="楷体" w:eastAsia="楷体"/>
                <w:sz w:val="24"/>
                <w:szCs w:val="24"/>
                <w:lang w:val="en-US" w:eastAsia="zh-CN"/>
              </w:rPr>
              <w:t>与河海大学出版社签订《面向领域智能的水利数据处理与分析方法》出版合同，拟作为水文学院开设博士生专业选修课程“水文大数据分析方法”教材，及计算机系研究生数字图像处理课程的参考教材。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10"/>
            <w:tcBorders>
              <w:left w:val="nil"/>
              <w:right w:val="nil"/>
            </w:tcBorders>
          </w:tcPr>
          <w:p>
            <w:pPr>
              <w:adjustRightInd w:val="0"/>
              <w:textAlignment w:val="baseline"/>
              <w:rPr>
                <w:rFonts w:ascii="宋体" w:hAnsi="宋体"/>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931" w:type="dxa"/>
            <w:gridSpan w:val="10"/>
            <w:vAlign w:val="center"/>
          </w:tcPr>
          <w:p>
            <w:pPr>
              <w:jc w:val="left"/>
              <w:rPr>
                <w:rFonts w:ascii="Times New Roman" w:hAnsi="Times New Roman"/>
                <w:b/>
                <w:szCs w:val="21"/>
              </w:rPr>
            </w:pPr>
            <w:r>
              <w:rPr>
                <w:rFonts w:ascii="黑体" w:hAnsi="黑体" w:eastAsia="黑体"/>
                <w:sz w:val="24"/>
                <w:szCs w:val="24"/>
              </w:rPr>
              <w:t>6.</w:t>
            </w:r>
            <w:r>
              <w:rPr>
                <w:rFonts w:hint="eastAsia" w:ascii="黑体" w:hAnsi="黑体" w:eastAsia="黑体"/>
                <w:sz w:val="24"/>
                <w:szCs w:val="24"/>
              </w:rPr>
              <w:t>国家级、省级教学成果奖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77" w:type="dxa"/>
            <w:gridSpan w:val="3"/>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序号</w:t>
            </w:r>
          </w:p>
        </w:tc>
        <w:tc>
          <w:tcPr>
            <w:tcW w:w="2100" w:type="dxa"/>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获奖项目名称</w:t>
            </w:r>
          </w:p>
        </w:tc>
        <w:tc>
          <w:tcPr>
            <w:tcW w:w="2436" w:type="dxa"/>
            <w:gridSpan w:val="3"/>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奖励名称</w:t>
            </w:r>
            <w:r>
              <w:rPr>
                <w:rFonts w:hint="eastAsia" w:ascii="宋体" w:hAnsi="宋体" w:eastAsia="宋体" w:cs="宋体"/>
                <w:sz w:val="21"/>
                <w:szCs w:val="21"/>
              </w:rPr>
              <w:t>及等级</w:t>
            </w:r>
          </w:p>
        </w:tc>
        <w:tc>
          <w:tcPr>
            <w:tcW w:w="1495"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个人排序</w:t>
            </w:r>
          </w:p>
        </w:tc>
        <w:tc>
          <w:tcPr>
            <w:tcW w:w="1823" w:type="dxa"/>
            <w:gridSpan w:val="2"/>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奖励年度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1077" w:type="dxa"/>
            <w:gridSpan w:val="3"/>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1</w:t>
            </w:r>
          </w:p>
        </w:tc>
        <w:tc>
          <w:tcPr>
            <w:tcW w:w="2100" w:type="dxa"/>
            <w:vAlign w:val="center"/>
          </w:tcPr>
          <w:p>
            <w:pPr>
              <w:jc w:val="center"/>
              <w:rPr>
                <w:rFonts w:ascii="楷体" w:hAnsi="楷体" w:eastAsia="楷体"/>
                <w:sz w:val="24"/>
                <w:szCs w:val="24"/>
              </w:rPr>
            </w:pPr>
          </w:p>
        </w:tc>
        <w:tc>
          <w:tcPr>
            <w:tcW w:w="2436" w:type="dxa"/>
            <w:gridSpan w:val="3"/>
            <w:vAlign w:val="center"/>
          </w:tcPr>
          <w:p>
            <w:pPr>
              <w:jc w:val="center"/>
              <w:rPr>
                <w:rFonts w:ascii="楷体" w:hAnsi="楷体" w:eastAsia="楷体"/>
                <w:sz w:val="24"/>
                <w:szCs w:val="24"/>
              </w:rPr>
            </w:pPr>
          </w:p>
        </w:tc>
        <w:tc>
          <w:tcPr>
            <w:tcW w:w="1495" w:type="dxa"/>
            <w:vAlign w:val="center"/>
          </w:tcPr>
          <w:p>
            <w:pPr>
              <w:jc w:val="center"/>
              <w:rPr>
                <w:rFonts w:ascii="楷体" w:hAnsi="楷体" w:eastAsia="楷体"/>
                <w:sz w:val="24"/>
                <w:szCs w:val="24"/>
              </w:rPr>
            </w:pPr>
          </w:p>
        </w:tc>
        <w:tc>
          <w:tcPr>
            <w:tcW w:w="1823" w:type="dxa"/>
            <w:gridSpan w:val="2"/>
            <w:vAlign w:val="center"/>
          </w:tcPr>
          <w:p>
            <w:pPr>
              <w:jc w:val="center"/>
              <w:rPr>
                <w:rFonts w:ascii="楷体" w:hAnsi="楷体" w:eastAsia="楷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1077" w:type="dxa"/>
            <w:gridSpan w:val="3"/>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2</w:t>
            </w:r>
          </w:p>
        </w:tc>
        <w:tc>
          <w:tcPr>
            <w:tcW w:w="2100" w:type="dxa"/>
            <w:vAlign w:val="center"/>
          </w:tcPr>
          <w:p>
            <w:pPr>
              <w:jc w:val="center"/>
              <w:rPr>
                <w:rFonts w:ascii="楷体" w:hAnsi="楷体" w:eastAsia="楷体"/>
                <w:sz w:val="24"/>
                <w:szCs w:val="24"/>
              </w:rPr>
            </w:pPr>
          </w:p>
        </w:tc>
        <w:tc>
          <w:tcPr>
            <w:tcW w:w="2436" w:type="dxa"/>
            <w:gridSpan w:val="3"/>
            <w:vAlign w:val="center"/>
          </w:tcPr>
          <w:p>
            <w:pPr>
              <w:jc w:val="center"/>
              <w:rPr>
                <w:rFonts w:ascii="楷体" w:hAnsi="楷体" w:eastAsia="楷体"/>
                <w:sz w:val="24"/>
                <w:szCs w:val="24"/>
              </w:rPr>
            </w:pPr>
          </w:p>
        </w:tc>
        <w:tc>
          <w:tcPr>
            <w:tcW w:w="1495" w:type="dxa"/>
            <w:vAlign w:val="center"/>
          </w:tcPr>
          <w:p>
            <w:pPr>
              <w:jc w:val="center"/>
              <w:rPr>
                <w:rFonts w:ascii="楷体" w:hAnsi="楷体" w:eastAsia="楷体"/>
                <w:sz w:val="24"/>
                <w:szCs w:val="24"/>
              </w:rPr>
            </w:pPr>
          </w:p>
        </w:tc>
        <w:tc>
          <w:tcPr>
            <w:tcW w:w="1823" w:type="dxa"/>
            <w:gridSpan w:val="2"/>
            <w:vAlign w:val="center"/>
          </w:tcPr>
          <w:p>
            <w:pPr>
              <w:jc w:val="center"/>
              <w:rPr>
                <w:rFonts w:ascii="楷体" w:hAnsi="楷体" w:eastAsia="楷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1077" w:type="dxa"/>
            <w:gridSpan w:val="3"/>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3</w:t>
            </w:r>
          </w:p>
        </w:tc>
        <w:tc>
          <w:tcPr>
            <w:tcW w:w="2100" w:type="dxa"/>
            <w:vAlign w:val="center"/>
          </w:tcPr>
          <w:p>
            <w:pPr>
              <w:jc w:val="center"/>
              <w:rPr>
                <w:rFonts w:ascii="楷体" w:hAnsi="楷体" w:eastAsia="楷体"/>
                <w:sz w:val="24"/>
                <w:szCs w:val="24"/>
              </w:rPr>
            </w:pPr>
          </w:p>
        </w:tc>
        <w:tc>
          <w:tcPr>
            <w:tcW w:w="2436" w:type="dxa"/>
            <w:gridSpan w:val="3"/>
            <w:vAlign w:val="center"/>
          </w:tcPr>
          <w:p>
            <w:pPr>
              <w:jc w:val="center"/>
              <w:rPr>
                <w:rFonts w:ascii="楷体" w:hAnsi="楷体" w:eastAsia="楷体"/>
                <w:sz w:val="24"/>
                <w:szCs w:val="24"/>
              </w:rPr>
            </w:pPr>
          </w:p>
        </w:tc>
        <w:tc>
          <w:tcPr>
            <w:tcW w:w="1495" w:type="dxa"/>
            <w:vAlign w:val="center"/>
          </w:tcPr>
          <w:p>
            <w:pPr>
              <w:jc w:val="center"/>
              <w:rPr>
                <w:rFonts w:ascii="楷体" w:hAnsi="楷体" w:eastAsia="楷体"/>
                <w:sz w:val="24"/>
                <w:szCs w:val="24"/>
              </w:rPr>
            </w:pPr>
          </w:p>
        </w:tc>
        <w:tc>
          <w:tcPr>
            <w:tcW w:w="1823" w:type="dxa"/>
            <w:gridSpan w:val="2"/>
            <w:vAlign w:val="center"/>
          </w:tcPr>
          <w:p>
            <w:pPr>
              <w:jc w:val="center"/>
              <w:rPr>
                <w:rFonts w:ascii="楷体" w:hAnsi="楷体" w:eastAsia="楷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1077" w:type="dxa"/>
            <w:gridSpan w:val="3"/>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4</w:t>
            </w:r>
          </w:p>
        </w:tc>
        <w:tc>
          <w:tcPr>
            <w:tcW w:w="2100" w:type="dxa"/>
            <w:vAlign w:val="center"/>
          </w:tcPr>
          <w:p>
            <w:pPr>
              <w:jc w:val="center"/>
              <w:rPr>
                <w:rFonts w:ascii="楷体" w:hAnsi="楷体" w:eastAsia="楷体"/>
                <w:sz w:val="24"/>
                <w:szCs w:val="24"/>
              </w:rPr>
            </w:pPr>
          </w:p>
        </w:tc>
        <w:tc>
          <w:tcPr>
            <w:tcW w:w="2436" w:type="dxa"/>
            <w:gridSpan w:val="3"/>
            <w:vAlign w:val="center"/>
          </w:tcPr>
          <w:p>
            <w:pPr>
              <w:jc w:val="center"/>
              <w:rPr>
                <w:rFonts w:ascii="楷体" w:hAnsi="楷体" w:eastAsia="楷体"/>
                <w:sz w:val="24"/>
                <w:szCs w:val="24"/>
              </w:rPr>
            </w:pPr>
          </w:p>
        </w:tc>
        <w:tc>
          <w:tcPr>
            <w:tcW w:w="1495" w:type="dxa"/>
            <w:vAlign w:val="center"/>
          </w:tcPr>
          <w:p>
            <w:pPr>
              <w:jc w:val="center"/>
              <w:rPr>
                <w:rFonts w:ascii="楷体" w:hAnsi="楷体" w:eastAsia="楷体"/>
                <w:sz w:val="24"/>
                <w:szCs w:val="24"/>
              </w:rPr>
            </w:pPr>
          </w:p>
        </w:tc>
        <w:tc>
          <w:tcPr>
            <w:tcW w:w="1823" w:type="dxa"/>
            <w:gridSpan w:val="2"/>
            <w:vAlign w:val="center"/>
          </w:tcPr>
          <w:p>
            <w:pPr>
              <w:jc w:val="center"/>
              <w:rPr>
                <w:rFonts w:ascii="楷体" w:hAnsi="楷体" w:eastAsia="楷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10"/>
            <w:tcBorders>
              <w:left w:val="nil"/>
              <w:right w:val="nil"/>
            </w:tcBorders>
          </w:tcPr>
          <w:p>
            <w:pPr>
              <w:adjustRightInd w:val="0"/>
              <w:textAlignment w:val="baseline"/>
              <w:rPr>
                <w:rFonts w:ascii="宋体" w:hAnsi="宋体"/>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8931" w:type="dxa"/>
            <w:gridSpan w:val="10"/>
            <w:vAlign w:val="center"/>
          </w:tcPr>
          <w:p>
            <w:pPr>
              <w:jc w:val="left"/>
              <w:rPr>
                <w:rFonts w:ascii="Times New Roman" w:hAnsi="Times New Roman"/>
                <w:b/>
                <w:szCs w:val="21"/>
              </w:rPr>
            </w:pPr>
            <w:r>
              <w:rPr>
                <w:rFonts w:ascii="黑体" w:hAnsi="黑体" w:eastAsia="黑体"/>
                <w:sz w:val="24"/>
                <w:szCs w:val="24"/>
              </w:rPr>
              <w:t>7.</w:t>
            </w:r>
            <w:r>
              <w:rPr>
                <w:rFonts w:hint="eastAsia" w:ascii="黑体" w:hAnsi="黑体" w:eastAsia="黑体"/>
                <w:sz w:val="24"/>
                <w:szCs w:val="24"/>
              </w:rPr>
              <w:t>教学评比和竞赛获奖、指导学生竞赛获奖（</w:t>
            </w:r>
            <w:r>
              <w:rPr>
                <w:rFonts w:ascii="黑体" w:hAnsi="黑体" w:eastAsia="黑体"/>
                <w:sz w:val="24"/>
                <w:szCs w:val="24"/>
              </w:rPr>
              <w:t>省级及以上）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exact"/>
          <w:jc w:val="center"/>
        </w:trPr>
        <w:tc>
          <w:tcPr>
            <w:tcW w:w="1024" w:type="dxa"/>
            <w:gridSpan w:val="2"/>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序号</w:t>
            </w:r>
          </w:p>
        </w:tc>
        <w:tc>
          <w:tcPr>
            <w:tcW w:w="2153" w:type="dxa"/>
            <w:gridSpan w:val="2"/>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获奖项目名称</w:t>
            </w:r>
          </w:p>
        </w:tc>
        <w:tc>
          <w:tcPr>
            <w:tcW w:w="2230" w:type="dxa"/>
            <w:gridSpan w:val="2"/>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奖励名称</w:t>
            </w:r>
            <w:r>
              <w:rPr>
                <w:rFonts w:hint="eastAsia" w:ascii="宋体" w:hAnsi="宋体" w:eastAsia="宋体" w:cs="宋体"/>
                <w:sz w:val="21"/>
                <w:szCs w:val="21"/>
              </w:rPr>
              <w:t>及等级</w:t>
            </w:r>
          </w:p>
        </w:tc>
        <w:tc>
          <w:tcPr>
            <w:tcW w:w="1701"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个人角色</w:t>
            </w:r>
          </w:p>
        </w:tc>
        <w:tc>
          <w:tcPr>
            <w:tcW w:w="1823" w:type="dxa"/>
            <w:gridSpan w:val="2"/>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奖励年度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1024" w:type="dxa"/>
            <w:gridSpan w:val="2"/>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1</w:t>
            </w:r>
          </w:p>
        </w:tc>
        <w:tc>
          <w:tcPr>
            <w:tcW w:w="2153" w:type="dxa"/>
            <w:gridSpan w:val="2"/>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中国软件杯大学生软件设计大赛</w:t>
            </w:r>
          </w:p>
        </w:tc>
        <w:tc>
          <w:tcPr>
            <w:tcW w:w="2230" w:type="dxa"/>
            <w:gridSpan w:val="2"/>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国家级二等奖</w:t>
            </w:r>
          </w:p>
        </w:tc>
        <w:tc>
          <w:tcPr>
            <w:tcW w:w="1701" w:type="dxa"/>
            <w:gridSpan w:val="2"/>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指导教师</w:t>
            </w:r>
          </w:p>
        </w:tc>
        <w:tc>
          <w:tcPr>
            <w:tcW w:w="1823" w:type="dxa"/>
            <w:gridSpan w:val="2"/>
            <w:vAlign w:val="center"/>
          </w:tcPr>
          <w:p>
            <w:pPr>
              <w:adjustRightInd w:val="0"/>
              <w:jc w:val="center"/>
              <w:textAlignment w:val="baseline"/>
              <w:rPr>
                <w:rFonts w:hint="default" w:ascii="楷体" w:hAnsi="楷体" w:eastAsia="楷体"/>
                <w:sz w:val="24"/>
                <w:szCs w:val="24"/>
                <w:lang w:val="en-US" w:eastAsia="zh-CN"/>
              </w:rPr>
            </w:pPr>
            <w:r>
              <w:rPr>
                <w:rFonts w:hint="eastAsia" w:ascii="楷体" w:hAnsi="楷体" w:eastAsia="楷体"/>
                <w:sz w:val="24"/>
                <w:szCs w:val="24"/>
                <w:lang w:val="en-US" w:eastAsia="zh-CN"/>
              </w:rPr>
              <w:t>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1024" w:type="dxa"/>
            <w:gridSpan w:val="2"/>
            <w:vAlign w:val="center"/>
          </w:tcPr>
          <w:p>
            <w:pPr>
              <w:snapToGrid w:val="0"/>
              <w:spacing w:line="320" w:lineRule="atLeas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2153" w:type="dxa"/>
            <w:gridSpan w:val="2"/>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本科创新创业计划</w:t>
            </w:r>
          </w:p>
        </w:tc>
        <w:tc>
          <w:tcPr>
            <w:tcW w:w="2230" w:type="dxa"/>
            <w:gridSpan w:val="2"/>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国家级项目，合格结题</w:t>
            </w:r>
          </w:p>
        </w:tc>
        <w:tc>
          <w:tcPr>
            <w:tcW w:w="1701" w:type="dxa"/>
            <w:gridSpan w:val="2"/>
            <w:vAlign w:val="center"/>
          </w:tcPr>
          <w:p>
            <w:pPr>
              <w:jc w:val="center"/>
              <w:rPr>
                <w:rFonts w:ascii="楷体" w:hAnsi="楷体" w:eastAsia="楷体"/>
                <w:sz w:val="24"/>
                <w:szCs w:val="24"/>
              </w:rPr>
            </w:pPr>
            <w:r>
              <w:rPr>
                <w:rFonts w:hint="eastAsia" w:ascii="楷体" w:hAnsi="楷体" w:eastAsia="楷体"/>
                <w:sz w:val="24"/>
                <w:szCs w:val="24"/>
                <w:lang w:val="en-US" w:eastAsia="zh-CN"/>
              </w:rPr>
              <w:t>指导教师</w:t>
            </w:r>
          </w:p>
        </w:tc>
        <w:tc>
          <w:tcPr>
            <w:tcW w:w="1823" w:type="dxa"/>
            <w:gridSpan w:val="2"/>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1024" w:type="dxa"/>
            <w:gridSpan w:val="2"/>
            <w:vAlign w:val="center"/>
          </w:tcPr>
          <w:p>
            <w:pPr>
              <w:snapToGrid w:val="0"/>
              <w:spacing w:line="320" w:lineRule="atLeas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3</w:t>
            </w:r>
          </w:p>
        </w:tc>
        <w:tc>
          <w:tcPr>
            <w:tcW w:w="2153" w:type="dxa"/>
            <w:gridSpan w:val="2"/>
            <w:vAlign w:val="center"/>
          </w:tcPr>
          <w:p>
            <w:pPr>
              <w:jc w:val="center"/>
              <w:rPr>
                <w:rFonts w:hint="eastAsia" w:ascii="楷体" w:hAnsi="楷体" w:eastAsia="楷体" w:cs="Times New Roman"/>
                <w:kern w:val="2"/>
                <w:sz w:val="24"/>
                <w:szCs w:val="24"/>
                <w:lang w:val="en-US" w:eastAsia="zh-CN" w:bidi="ar-SA"/>
              </w:rPr>
            </w:pPr>
            <w:r>
              <w:rPr>
                <w:rFonts w:hint="eastAsia" w:ascii="楷体" w:hAnsi="楷体" w:eastAsia="楷体"/>
                <w:sz w:val="24"/>
                <w:szCs w:val="24"/>
                <w:lang w:val="en-US" w:eastAsia="zh-CN"/>
              </w:rPr>
              <w:t>本科创新创业计划</w:t>
            </w:r>
          </w:p>
        </w:tc>
        <w:tc>
          <w:tcPr>
            <w:tcW w:w="2230" w:type="dxa"/>
            <w:gridSpan w:val="2"/>
            <w:vAlign w:val="center"/>
          </w:tcPr>
          <w:p>
            <w:pPr>
              <w:jc w:val="center"/>
              <w:rPr>
                <w:rFonts w:hint="default" w:ascii="楷体" w:hAnsi="楷体" w:eastAsia="楷体" w:cs="Times New Roman"/>
                <w:kern w:val="2"/>
                <w:sz w:val="24"/>
                <w:szCs w:val="24"/>
                <w:lang w:val="en-US" w:eastAsia="zh-CN" w:bidi="ar-SA"/>
              </w:rPr>
            </w:pPr>
            <w:r>
              <w:rPr>
                <w:rFonts w:hint="eastAsia" w:ascii="楷体" w:hAnsi="楷体" w:eastAsia="楷体"/>
                <w:sz w:val="24"/>
                <w:szCs w:val="24"/>
                <w:lang w:val="en-US" w:eastAsia="zh-CN"/>
              </w:rPr>
              <w:t>省级项目，优秀结题</w:t>
            </w:r>
          </w:p>
        </w:tc>
        <w:tc>
          <w:tcPr>
            <w:tcW w:w="1701" w:type="dxa"/>
            <w:gridSpan w:val="2"/>
            <w:vAlign w:val="center"/>
          </w:tcPr>
          <w:p>
            <w:pPr>
              <w:jc w:val="center"/>
              <w:rPr>
                <w:rFonts w:ascii="楷体" w:hAnsi="楷体" w:eastAsia="楷体"/>
                <w:sz w:val="24"/>
                <w:szCs w:val="24"/>
              </w:rPr>
            </w:pPr>
            <w:r>
              <w:rPr>
                <w:rFonts w:hint="eastAsia" w:ascii="楷体" w:hAnsi="楷体" w:eastAsia="楷体"/>
                <w:sz w:val="24"/>
                <w:szCs w:val="24"/>
                <w:lang w:val="en-US" w:eastAsia="zh-CN"/>
              </w:rPr>
              <w:t>指导教师</w:t>
            </w:r>
          </w:p>
        </w:tc>
        <w:tc>
          <w:tcPr>
            <w:tcW w:w="1823" w:type="dxa"/>
            <w:gridSpan w:val="2"/>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1024" w:type="dxa"/>
            <w:gridSpan w:val="2"/>
            <w:vAlign w:val="center"/>
          </w:tcPr>
          <w:p>
            <w:pPr>
              <w:snapToGrid w:val="0"/>
              <w:spacing w:line="320" w:lineRule="atLeas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2</w:t>
            </w:r>
          </w:p>
        </w:tc>
        <w:tc>
          <w:tcPr>
            <w:tcW w:w="2153" w:type="dxa"/>
            <w:gridSpan w:val="2"/>
            <w:vAlign w:val="center"/>
          </w:tcPr>
          <w:p>
            <w:pPr>
              <w:jc w:val="center"/>
              <w:rPr>
                <w:rFonts w:hint="eastAsia" w:ascii="楷体" w:hAnsi="楷体" w:eastAsia="楷体" w:cs="Times New Roman"/>
                <w:kern w:val="2"/>
                <w:sz w:val="24"/>
                <w:szCs w:val="24"/>
                <w:lang w:val="en-US" w:eastAsia="zh-CN" w:bidi="ar-SA"/>
              </w:rPr>
            </w:pPr>
            <w:r>
              <w:rPr>
                <w:rFonts w:hint="eastAsia" w:ascii="楷体" w:hAnsi="楷体" w:eastAsia="楷体"/>
                <w:sz w:val="24"/>
                <w:szCs w:val="24"/>
                <w:lang w:val="en-US" w:eastAsia="zh-CN"/>
              </w:rPr>
              <w:t>河海大学讲课竞赛</w:t>
            </w:r>
          </w:p>
        </w:tc>
        <w:tc>
          <w:tcPr>
            <w:tcW w:w="2230" w:type="dxa"/>
            <w:gridSpan w:val="2"/>
            <w:vAlign w:val="center"/>
          </w:tcPr>
          <w:p>
            <w:pPr>
              <w:jc w:val="center"/>
              <w:rPr>
                <w:rFonts w:hint="eastAsia" w:ascii="楷体" w:hAnsi="楷体" w:eastAsia="楷体" w:cs="Times New Roman"/>
                <w:kern w:val="2"/>
                <w:sz w:val="24"/>
                <w:szCs w:val="24"/>
                <w:lang w:val="en-US" w:eastAsia="zh-CN" w:bidi="ar-SA"/>
              </w:rPr>
            </w:pPr>
            <w:r>
              <w:rPr>
                <w:rFonts w:hint="eastAsia" w:ascii="楷体" w:hAnsi="楷体" w:eastAsia="楷体"/>
                <w:sz w:val="24"/>
                <w:szCs w:val="24"/>
                <w:lang w:val="en-US" w:eastAsia="zh-CN"/>
              </w:rPr>
              <w:t>青年组三等奖</w:t>
            </w:r>
          </w:p>
        </w:tc>
        <w:tc>
          <w:tcPr>
            <w:tcW w:w="1701" w:type="dxa"/>
            <w:gridSpan w:val="2"/>
            <w:vAlign w:val="center"/>
          </w:tcPr>
          <w:p>
            <w:pPr>
              <w:jc w:val="center"/>
              <w:rPr>
                <w:rFonts w:hint="eastAsia" w:ascii="楷体" w:hAnsi="楷体" w:eastAsia="楷体" w:cs="Times New Roman"/>
                <w:kern w:val="2"/>
                <w:sz w:val="24"/>
                <w:szCs w:val="24"/>
                <w:lang w:val="en-US" w:eastAsia="zh-CN" w:bidi="ar-SA"/>
              </w:rPr>
            </w:pPr>
            <w:r>
              <w:rPr>
                <w:rFonts w:hint="eastAsia" w:ascii="楷体" w:hAnsi="楷体" w:eastAsia="楷体"/>
                <w:sz w:val="24"/>
                <w:szCs w:val="24"/>
                <w:lang w:val="en-US" w:eastAsia="zh-CN"/>
              </w:rPr>
              <w:t>教师</w:t>
            </w:r>
          </w:p>
        </w:tc>
        <w:tc>
          <w:tcPr>
            <w:tcW w:w="1823" w:type="dxa"/>
            <w:gridSpan w:val="2"/>
            <w:vAlign w:val="center"/>
          </w:tcPr>
          <w:p>
            <w:pPr>
              <w:adjustRightInd w:val="0"/>
              <w:jc w:val="center"/>
              <w:textAlignment w:val="baseline"/>
              <w:rPr>
                <w:rFonts w:hint="eastAsia" w:ascii="楷体" w:hAnsi="楷体" w:eastAsia="楷体" w:cs="Times New Roman"/>
                <w:kern w:val="2"/>
                <w:sz w:val="24"/>
                <w:szCs w:val="24"/>
                <w:lang w:val="en-US" w:eastAsia="zh-CN" w:bidi="ar-SA"/>
              </w:rPr>
            </w:pPr>
            <w:r>
              <w:rPr>
                <w:rFonts w:hint="eastAsia" w:ascii="楷体" w:hAnsi="楷体" w:eastAsia="楷体"/>
                <w:sz w:val="24"/>
                <w:szCs w:val="24"/>
                <w:lang w:val="en-US" w:eastAsia="zh-C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1024" w:type="dxa"/>
            <w:gridSpan w:val="2"/>
            <w:vAlign w:val="center"/>
          </w:tcPr>
          <w:p>
            <w:pPr>
              <w:snapToGrid w:val="0"/>
              <w:spacing w:line="320" w:lineRule="atLeas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3</w:t>
            </w:r>
          </w:p>
        </w:tc>
        <w:tc>
          <w:tcPr>
            <w:tcW w:w="2153" w:type="dxa"/>
            <w:gridSpan w:val="2"/>
            <w:vAlign w:val="center"/>
          </w:tcPr>
          <w:p>
            <w:pPr>
              <w:jc w:val="center"/>
              <w:rPr>
                <w:rFonts w:hint="eastAsia" w:ascii="楷体" w:hAnsi="楷体" w:eastAsia="楷体" w:cs="Times New Roman"/>
                <w:kern w:val="2"/>
                <w:sz w:val="24"/>
                <w:szCs w:val="24"/>
                <w:lang w:val="en-US" w:eastAsia="zh-CN" w:bidi="ar-SA"/>
              </w:rPr>
            </w:pPr>
            <w:r>
              <w:rPr>
                <w:rFonts w:hint="eastAsia" w:ascii="楷体" w:hAnsi="楷体" w:eastAsia="楷体"/>
                <w:sz w:val="24"/>
                <w:szCs w:val="24"/>
                <w:lang w:val="en-US" w:eastAsia="zh-CN"/>
              </w:rPr>
              <w:t>本科毕业论文优秀指导老师</w:t>
            </w:r>
          </w:p>
        </w:tc>
        <w:tc>
          <w:tcPr>
            <w:tcW w:w="2230" w:type="dxa"/>
            <w:gridSpan w:val="2"/>
            <w:vAlign w:val="center"/>
          </w:tcPr>
          <w:p>
            <w:pPr>
              <w:jc w:val="center"/>
              <w:rPr>
                <w:rFonts w:hint="eastAsia" w:ascii="楷体" w:hAnsi="楷体" w:eastAsia="楷体" w:cs="Times New Roman"/>
                <w:kern w:val="2"/>
                <w:sz w:val="24"/>
                <w:szCs w:val="24"/>
                <w:lang w:val="en-US" w:eastAsia="zh-CN" w:bidi="ar-SA"/>
              </w:rPr>
            </w:pPr>
            <w:r>
              <w:rPr>
                <w:rFonts w:hint="eastAsia" w:ascii="楷体" w:hAnsi="楷体" w:eastAsia="楷体"/>
                <w:sz w:val="24"/>
                <w:szCs w:val="24"/>
                <w:lang w:val="en-US" w:eastAsia="zh-CN"/>
              </w:rPr>
              <w:t>本科优秀奖</w:t>
            </w:r>
          </w:p>
        </w:tc>
        <w:tc>
          <w:tcPr>
            <w:tcW w:w="1701" w:type="dxa"/>
            <w:gridSpan w:val="2"/>
            <w:vAlign w:val="center"/>
          </w:tcPr>
          <w:p>
            <w:pPr>
              <w:jc w:val="center"/>
              <w:rPr>
                <w:rFonts w:hint="eastAsia" w:ascii="楷体" w:hAnsi="楷体" w:eastAsia="楷体" w:cs="Times New Roman"/>
                <w:kern w:val="2"/>
                <w:sz w:val="24"/>
                <w:szCs w:val="24"/>
                <w:lang w:val="en-US" w:eastAsia="zh-CN" w:bidi="ar-SA"/>
              </w:rPr>
            </w:pPr>
            <w:r>
              <w:rPr>
                <w:rFonts w:hint="eastAsia" w:ascii="楷体" w:hAnsi="楷体" w:eastAsia="楷体"/>
                <w:sz w:val="24"/>
                <w:szCs w:val="24"/>
                <w:lang w:val="en-US" w:eastAsia="zh-CN"/>
              </w:rPr>
              <w:t>指导教师</w:t>
            </w:r>
          </w:p>
        </w:tc>
        <w:tc>
          <w:tcPr>
            <w:tcW w:w="1823" w:type="dxa"/>
            <w:gridSpan w:val="2"/>
            <w:vAlign w:val="center"/>
          </w:tcPr>
          <w:p>
            <w:pPr>
              <w:jc w:val="center"/>
              <w:rPr>
                <w:rFonts w:hint="eastAsia" w:ascii="楷体" w:hAnsi="楷体" w:eastAsia="楷体" w:cs="Times New Roman"/>
                <w:kern w:val="2"/>
                <w:sz w:val="24"/>
                <w:szCs w:val="24"/>
                <w:lang w:val="en-US" w:eastAsia="zh-CN" w:bidi="ar-SA"/>
              </w:rPr>
            </w:pPr>
            <w:r>
              <w:rPr>
                <w:rFonts w:hint="eastAsia" w:ascii="楷体" w:hAnsi="楷体" w:eastAsia="楷体"/>
                <w:sz w:val="24"/>
                <w:szCs w:val="24"/>
                <w:lang w:val="en-US" w:eastAsia="zh-C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10"/>
          </w:tcPr>
          <w:p>
            <w:pPr>
              <w:outlineLvl w:val="0"/>
              <w:rPr>
                <w:rFonts w:ascii="宋体" w:hAnsi="宋体"/>
                <w:szCs w:val="32"/>
              </w:rPr>
            </w:pPr>
            <w:r>
              <w:rPr>
                <w:rFonts w:hint="eastAsia" w:ascii="宋体" w:hAnsi="宋体" w:eastAsia="宋体"/>
                <w:b/>
                <w:sz w:val="30"/>
              </w:rPr>
              <w:t>三</w:t>
            </w:r>
            <w:r>
              <w:rPr>
                <w:rFonts w:ascii="宋体" w:hAnsi="宋体" w:eastAsia="宋体"/>
                <w:b/>
                <w:sz w:val="30"/>
              </w:rPr>
              <w:t>、</w:t>
            </w:r>
            <w:r>
              <w:rPr>
                <w:rFonts w:hint="eastAsia" w:ascii="宋体" w:hAnsi="宋体" w:eastAsia="宋体"/>
                <w:b/>
                <w:sz w:val="30"/>
              </w:rPr>
              <w:t>学术</w:t>
            </w:r>
            <w:r>
              <w:rPr>
                <w:rFonts w:ascii="宋体" w:hAnsi="宋体" w:eastAsia="宋体"/>
                <w:b/>
                <w:sz w:val="30"/>
              </w:rPr>
              <w:t>创新</w:t>
            </w:r>
            <w:r>
              <w:rPr>
                <w:rFonts w:hint="eastAsia" w:ascii="宋体" w:hAnsi="宋体" w:eastAsia="宋体"/>
                <w:b/>
                <w:sz w:val="30"/>
              </w:rPr>
              <w:t>与贡献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8931" w:type="dxa"/>
            <w:gridSpan w:val="10"/>
          </w:tcPr>
          <w:p>
            <w:pPr>
              <w:jc w:val="left"/>
              <w:rPr>
                <w:rFonts w:ascii="宋体" w:hAnsi="宋体" w:cs="宋体"/>
                <w:kern w:val="0"/>
                <w:sz w:val="24"/>
                <w:szCs w:val="24"/>
              </w:rPr>
            </w:pPr>
            <w:r>
              <w:rPr>
                <w:rFonts w:hint="eastAsia" w:ascii="黑体" w:hAnsi="黑体" w:eastAsia="黑体"/>
                <w:sz w:val="24"/>
                <w:szCs w:val="24"/>
              </w:rPr>
              <w:t>1．总体</w:t>
            </w:r>
            <w:r>
              <w:rPr>
                <w:rFonts w:ascii="黑体" w:hAnsi="黑体" w:eastAsia="黑体"/>
                <w:sz w:val="24"/>
                <w:szCs w:val="24"/>
              </w:rPr>
              <w:t>情况</w:t>
            </w:r>
            <w:r>
              <w:rPr>
                <w:rFonts w:hint="eastAsia" w:ascii="黑体" w:hAnsi="黑体" w:eastAsia="黑体"/>
                <w:sz w:val="24"/>
                <w:szCs w:val="24"/>
              </w:rPr>
              <w:t>及</w:t>
            </w:r>
            <w:r>
              <w:rPr>
                <w:rFonts w:ascii="黑体" w:hAnsi="黑体" w:eastAsia="黑体"/>
                <w:sz w:val="24"/>
                <w:szCs w:val="24"/>
              </w:rPr>
              <w:t>主要学术贡献（</w:t>
            </w:r>
            <w:r>
              <w:rPr>
                <w:rFonts w:hint="eastAsia" w:ascii="黑体" w:hAnsi="黑体" w:eastAsia="黑体"/>
                <w:sz w:val="24"/>
                <w:szCs w:val="24"/>
              </w:rPr>
              <w:t>候选</w:t>
            </w:r>
            <w:r>
              <w:rPr>
                <w:rFonts w:ascii="黑体" w:hAnsi="黑体" w:eastAsia="黑体"/>
                <w:sz w:val="24"/>
                <w:szCs w:val="24"/>
              </w:rPr>
              <w:t>人学术能力、学术创新、</w:t>
            </w:r>
            <w:r>
              <w:rPr>
                <w:rFonts w:hint="eastAsia" w:ascii="黑体" w:hAnsi="黑体" w:eastAsia="黑体"/>
                <w:sz w:val="24"/>
                <w:szCs w:val="24"/>
              </w:rPr>
              <w:t>主要</w:t>
            </w:r>
            <w:r>
              <w:rPr>
                <w:rFonts w:ascii="黑体" w:hAnsi="黑体" w:eastAsia="黑体"/>
                <w:sz w:val="24"/>
                <w:szCs w:val="24"/>
              </w:rPr>
              <w:t>学术贡献</w:t>
            </w:r>
            <w:r>
              <w:rPr>
                <w:rFonts w:hint="eastAsia" w:ascii="黑体" w:hAnsi="黑体" w:eastAsia="黑体"/>
                <w:sz w:val="24"/>
                <w:szCs w:val="24"/>
              </w:rPr>
              <w:t>、</w:t>
            </w:r>
            <w:r>
              <w:rPr>
                <w:rFonts w:ascii="黑体" w:hAnsi="黑体" w:eastAsia="黑体"/>
                <w:sz w:val="24"/>
                <w:szCs w:val="24"/>
              </w:rPr>
              <w:t>重要创新成果及其科学价值或社会经济意</w:t>
            </w:r>
            <w:r>
              <w:rPr>
                <w:rFonts w:hint="eastAsia" w:ascii="黑体" w:hAnsi="黑体" w:eastAsia="黑体"/>
                <w:sz w:val="24"/>
                <w:szCs w:val="24"/>
              </w:rPr>
              <w:t>义</w:t>
            </w:r>
            <w:r>
              <w:rPr>
                <w:rFonts w:ascii="黑体" w:hAnsi="黑体" w:eastAsia="黑体"/>
                <w:sz w:val="24"/>
                <w:szCs w:val="24"/>
              </w:rPr>
              <w:t>等</w:t>
            </w:r>
            <w:r>
              <w:rPr>
                <w:rFonts w:hint="eastAsia" w:ascii="黑体" w:hAnsi="黑体" w:eastAsia="黑体"/>
                <w:sz w:val="24"/>
                <w:szCs w:val="24"/>
              </w:rPr>
              <w:t>，</w:t>
            </w:r>
            <w:r>
              <w:rPr>
                <w:rFonts w:ascii="黑体" w:hAnsi="黑体" w:eastAsia="黑体"/>
                <w:sz w:val="24"/>
                <w:szCs w:val="24"/>
              </w:rPr>
              <w:t>以近五年为主</w:t>
            </w:r>
            <w:r>
              <w:rPr>
                <w:rFonts w:hint="eastAsia" w:ascii="黑体" w:hAnsi="黑体" w:eastAsia="黑体"/>
                <w:sz w:val="24"/>
                <w:szCs w:val="24"/>
              </w:rPr>
              <w:t>，不</w:t>
            </w:r>
            <w:r>
              <w:rPr>
                <w:rFonts w:ascii="黑体" w:hAnsi="黑体" w:eastAsia="黑体"/>
                <w:sz w:val="24"/>
                <w:szCs w:val="24"/>
              </w:rPr>
              <w:t>超过</w:t>
            </w:r>
            <w:r>
              <w:rPr>
                <w:rFonts w:hint="eastAsia" w:ascii="黑体" w:hAnsi="黑体" w:eastAsia="黑体"/>
                <w:sz w:val="24"/>
                <w:szCs w:val="24"/>
              </w:rPr>
              <w:t>一页。）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05" w:hRule="exact"/>
        </w:trPr>
        <w:tc>
          <w:tcPr>
            <w:tcW w:w="8931" w:type="dxa"/>
            <w:gridSpan w:val="10"/>
          </w:tcPr>
          <w:p>
            <w:pPr>
              <w:adjustRightInd w:val="0"/>
              <w:textAlignment w:val="baseline"/>
              <w:rPr>
                <w:rFonts w:hint="eastAsia" w:ascii="楷体" w:hAnsi="楷体" w:eastAsia="楷体"/>
                <w:sz w:val="24"/>
                <w:szCs w:val="24"/>
                <w:lang w:val="en-US" w:eastAsia="zh-CN"/>
              </w:rPr>
            </w:pPr>
            <w:r>
              <w:rPr>
                <w:rFonts w:hint="eastAsia" w:ascii="楷体" w:hAnsi="楷体" w:eastAsia="楷体"/>
                <w:b/>
                <w:bCs/>
                <w:sz w:val="24"/>
                <w:szCs w:val="24"/>
                <w:lang w:val="en-US" w:eastAsia="zh-CN"/>
              </w:rPr>
              <w:t>学术能力</w:t>
            </w:r>
            <w:r>
              <w:rPr>
                <w:rFonts w:hint="eastAsia" w:ascii="楷体" w:hAnsi="楷体" w:eastAsia="楷体"/>
                <w:sz w:val="24"/>
                <w:lang w:val="en-US" w:eastAsia="zh-CN"/>
              </w:rPr>
              <w:t>：研究方向为计算机视觉与智慧水利。主持省部级及以上科研项目7项，包括国家、省青年科学基金各一项，重点研发子专题2项。</w:t>
            </w:r>
            <w:r>
              <w:rPr>
                <w:rFonts w:hint="default" w:ascii="楷体" w:hAnsi="楷体" w:eastAsia="楷体"/>
                <w:sz w:val="24"/>
                <w:lang w:val="en-US" w:eastAsia="zh-CN"/>
              </w:rPr>
              <w:t>于权威国际刊物</w:t>
            </w:r>
            <w:r>
              <w:rPr>
                <w:rFonts w:hint="default" w:ascii="Times New Roman" w:hAnsi="Times New Roman" w:eastAsia="楷体" w:cs="Times New Roman"/>
                <w:sz w:val="24"/>
                <w:lang w:val="en-US" w:eastAsia="zh-CN"/>
              </w:rPr>
              <w:t>《IEEE Transactions on Image Processing</w:t>
            </w:r>
            <w:r>
              <w:rPr>
                <w:rFonts w:hint="eastAsia" w:ascii="Times New Roman" w:hAnsi="Times New Roman" w:eastAsia="楷体" w:cs="Times New Roman"/>
                <w:sz w:val="24"/>
                <w:lang w:val="en-US" w:eastAsia="zh-CN"/>
              </w:rPr>
              <w:t>》、</w:t>
            </w:r>
            <w:r>
              <w:rPr>
                <w:rFonts w:hint="default" w:ascii="Times New Roman" w:hAnsi="Times New Roman" w:eastAsia="楷体" w:cs="Times New Roman"/>
                <w:sz w:val="24"/>
                <w:lang w:val="en-US" w:eastAsia="zh-CN"/>
              </w:rPr>
              <w:t>《IEEE Transactions on Multimedia》、《Computer-Aided Geometric Design》、</w:t>
            </w:r>
            <w:r>
              <w:rPr>
                <w:rFonts w:hint="eastAsia" w:ascii="Times New Roman" w:hAnsi="Times New Roman" w:eastAsia="楷体" w:cs="Times New Roman"/>
                <w:sz w:val="24"/>
                <w:lang w:val="en-US" w:eastAsia="zh-CN"/>
              </w:rPr>
              <w:t>《Neural Computing and Applications》</w:t>
            </w:r>
            <w:r>
              <w:rPr>
                <w:rFonts w:hint="default" w:ascii="楷体" w:hAnsi="楷体" w:eastAsia="楷体"/>
                <w:sz w:val="24"/>
                <w:lang w:val="en-US" w:eastAsia="zh-CN"/>
              </w:rPr>
              <w:t>及高水平国际学术会议</w:t>
            </w:r>
            <w:r>
              <w:rPr>
                <w:rFonts w:hint="eastAsia" w:ascii="Times New Roman" w:hAnsi="Times New Roman" w:eastAsia="楷体" w:cs="Times New Roman"/>
                <w:sz w:val="24"/>
                <w:lang w:val="en-US" w:eastAsia="zh-CN"/>
              </w:rPr>
              <w:t>IJCAI、</w:t>
            </w:r>
            <w:r>
              <w:rPr>
                <w:rFonts w:hint="default" w:ascii="Times New Roman" w:hAnsi="Times New Roman" w:eastAsia="楷体" w:cs="Times New Roman"/>
                <w:sz w:val="24"/>
                <w:lang w:val="en-US" w:eastAsia="zh-CN"/>
              </w:rPr>
              <w:t>ACM Multimedia、ICME、BIBM、ICIP、ICPR、MMM</w:t>
            </w:r>
            <w:r>
              <w:rPr>
                <w:rFonts w:hint="default" w:ascii="楷体" w:hAnsi="楷体" w:eastAsia="楷体"/>
                <w:sz w:val="24"/>
                <w:lang w:val="en-US" w:eastAsia="zh-CN"/>
              </w:rPr>
              <w:t>等发表学术论文四十余篇</w:t>
            </w:r>
            <w:r>
              <w:rPr>
                <w:rFonts w:hint="eastAsia" w:ascii="楷体" w:hAnsi="楷体" w:eastAsia="楷体"/>
                <w:sz w:val="24"/>
                <w:lang w:val="en-US" w:eastAsia="zh-CN"/>
              </w:rPr>
              <w:t>，以一作/通讯作者发表</w:t>
            </w:r>
            <w:r>
              <w:rPr>
                <w:rFonts w:hint="eastAsia" w:ascii="Times New Roman" w:hAnsi="Times New Roman" w:eastAsia="楷体" w:cs="Times New Roman"/>
                <w:sz w:val="24"/>
                <w:lang w:val="en-US" w:eastAsia="zh-CN"/>
              </w:rPr>
              <w:t>CCF-A/B</w:t>
            </w:r>
            <w:r>
              <w:rPr>
                <w:rFonts w:hint="eastAsia" w:ascii="楷体" w:hAnsi="楷体" w:eastAsia="楷体"/>
                <w:sz w:val="24"/>
                <w:lang w:val="en-US" w:eastAsia="zh-CN"/>
              </w:rPr>
              <w:t>论文七篇。研究生一作，本人通讯作者的</w:t>
            </w:r>
            <w:r>
              <w:rPr>
                <w:rFonts w:hint="default" w:ascii="楷体" w:hAnsi="楷体" w:eastAsia="楷体"/>
                <w:sz w:val="24"/>
                <w:lang w:val="en-US" w:eastAsia="zh-CN"/>
              </w:rPr>
              <w:t>论文被</w:t>
            </w:r>
            <w:r>
              <w:rPr>
                <w:rFonts w:hint="default" w:ascii="Times New Roman" w:hAnsi="Times New Roman" w:eastAsia="楷体" w:cs="Times New Roman"/>
                <w:sz w:val="24"/>
                <w:lang w:val="en-US" w:eastAsia="zh-CN"/>
              </w:rPr>
              <w:t>IEEE EUC 2021</w:t>
            </w:r>
            <w:r>
              <w:rPr>
                <w:rFonts w:hint="default" w:ascii="楷体" w:hAnsi="楷体" w:eastAsia="楷体"/>
                <w:sz w:val="24"/>
                <w:lang w:val="en-US" w:eastAsia="zh-CN"/>
              </w:rPr>
              <w:t>（第19届</w:t>
            </w:r>
            <w:r>
              <w:rPr>
                <w:rFonts w:hint="default" w:ascii="Times New Roman" w:hAnsi="Times New Roman" w:eastAsia="楷体" w:cs="Times New Roman"/>
                <w:sz w:val="24"/>
                <w:lang w:val="en-US" w:eastAsia="zh-CN"/>
              </w:rPr>
              <w:t>IEEE</w:t>
            </w:r>
            <w:r>
              <w:rPr>
                <w:rFonts w:hint="default" w:ascii="楷体" w:hAnsi="楷体" w:eastAsia="楷体"/>
                <w:sz w:val="24"/>
                <w:lang w:val="en-US" w:eastAsia="zh-CN"/>
              </w:rPr>
              <w:t>国际嵌入式与普适计算大会</w:t>
            </w:r>
            <w:r>
              <w:rPr>
                <w:rFonts w:hint="eastAsia" w:ascii="楷体" w:hAnsi="楷体" w:eastAsia="楷体"/>
                <w:sz w:val="24"/>
                <w:lang w:val="en-US" w:eastAsia="zh-CN"/>
              </w:rPr>
              <w:t>，</w:t>
            </w:r>
            <w:r>
              <w:rPr>
                <w:rFonts w:hint="default" w:ascii="楷体" w:hAnsi="楷体" w:eastAsia="楷体"/>
                <w:sz w:val="24"/>
                <w:lang w:val="en-US" w:eastAsia="zh-CN"/>
              </w:rPr>
              <w:t>普适计算领域重要学术会议）评选为唯一最佳论文奖。该讯息被学部官网转载。</w:t>
            </w:r>
            <w:r>
              <w:rPr>
                <w:rFonts w:hint="eastAsia" w:ascii="楷体" w:hAnsi="楷体" w:eastAsia="楷体"/>
                <w:sz w:val="24"/>
                <w:lang w:val="en-US" w:eastAsia="zh-CN"/>
              </w:rPr>
              <w:t>一作</w:t>
            </w:r>
            <w:r>
              <w:rPr>
                <w:rFonts w:hint="default" w:ascii="楷体" w:hAnsi="楷体" w:eastAsia="楷体"/>
                <w:sz w:val="24"/>
                <w:lang w:val="en-US" w:eastAsia="zh-CN"/>
              </w:rPr>
              <w:t>论文被中国计算机学会多媒体领域旗舰会议</w:t>
            </w:r>
            <w:r>
              <w:rPr>
                <w:rFonts w:hint="default" w:ascii="Times New Roman" w:hAnsi="Times New Roman" w:eastAsia="楷体" w:cs="Times New Roman"/>
                <w:sz w:val="24"/>
                <w:lang w:val="en-US" w:eastAsia="zh-CN"/>
              </w:rPr>
              <w:t>ChinaMM2021</w:t>
            </w:r>
            <w:r>
              <w:rPr>
                <w:rFonts w:hint="default" w:ascii="楷体" w:hAnsi="楷体" w:eastAsia="楷体"/>
                <w:sz w:val="24"/>
                <w:lang w:val="en-US" w:eastAsia="zh-CN"/>
              </w:rPr>
              <w:t>评为最佳墙报奖。</w:t>
            </w:r>
            <w:r>
              <w:rPr>
                <w:rFonts w:hint="eastAsia" w:ascii="楷体" w:hAnsi="楷体" w:eastAsia="楷体"/>
                <w:sz w:val="24"/>
                <w:lang w:val="en-US" w:eastAsia="zh-CN"/>
              </w:rPr>
              <w:t>与</w:t>
            </w:r>
            <w:r>
              <w:rPr>
                <w:rFonts w:hint="eastAsia" w:ascii="Times New Roman" w:hAnsi="Times New Roman" w:eastAsia="楷体" w:cs="Times New Roman"/>
                <w:sz w:val="24"/>
                <w:lang w:val="en-US" w:eastAsia="zh-CN"/>
              </w:rPr>
              <w:t xml:space="preserve">IAPR Fellow </w:t>
            </w:r>
            <w:r>
              <w:rPr>
                <w:rFonts w:hint="default" w:ascii="Times New Roman" w:hAnsi="Times New Roman" w:eastAsia="楷体" w:cs="Times New Roman"/>
                <w:sz w:val="24"/>
                <w:lang w:val="en-US" w:eastAsia="zh-CN"/>
              </w:rPr>
              <w:t>Umapada Pal</w:t>
            </w:r>
            <w:r>
              <w:rPr>
                <w:rFonts w:hint="eastAsia" w:ascii="楷体" w:hAnsi="楷体" w:eastAsia="楷体"/>
                <w:sz w:val="24"/>
                <w:lang w:val="en-US" w:eastAsia="zh-CN"/>
              </w:rPr>
              <w:t>教授、南京大学</w:t>
            </w:r>
            <w:r>
              <w:rPr>
                <w:rFonts w:hint="default" w:ascii="楷体" w:hAnsi="楷体" w:eastAsia="楷体"/>
                <w:sz w:val="24"/>
                <w:lang w:val="en-US" w:eastAsia="zh-CN"/>
              </w:rPr>
              <w:fldChar w:fldCharType="begin"/>
            </w:r>
            <w:r>
              <w:rPr>
                <w:rFonts w:hint="default" w:ascii="楷体" w:hAnsi="楷体" w:eastAsia="楷体"/>
                <w:sz w:val="24"/>
                <w:lang w:val="en-US" w:eastAsia="zh-CN"/>
              </w:rPr>
              <w:instrText xml:space="preserve"> HYPERLINK "http://cs.nju.edu.cn/lutong/" </w:instrText>
            </w:r>
            <w:r>
              <w:rPr>
                <w:rFonts w:hint="default" w:ascii="楷体" w:hAnsi="楷体" w:eastAsia="楷体"/>
                <w:sz w:val="24"/>
                <w:lang w:val="en-US" w:eastAsia="zh-CN"/>
              </w:rPr>
              <w:fldChar w:fldCharType="separate"/>
            </w:r>
            <w:r>
              <w:rPr>
                <w:rFonts w:hint="default" w:ascii="楷体" w:hAnsi="楷体" w:eastAsia="楷体"/>
                <w:sz w:val="24"/>
                <w:lang w:val="en-US" w:eastAsia="zh-CN"/>
              </w:rPr>
              <w:t>路通</w:t>
            </w:r>
            <w:r>
              <w:rPr>
                <w:rFonts w:hint="eastAsia" w:ascii="楷体" w:hAnsi="楷体" w:eastAsia="楷体"/>
                <w:sz w:val="24"/>
                <w:lang w:val="en-US" w:eastAsia="zh-CN"/>
              </w:rPr>
              <w:t>教授、青千王利民</w:t>
            </w:r>
            <w:r>
              <w:rPr>
                <w:rFonts w:hint="default" w:ascii="楷体" w:hAnsi="楷体" w:eastAsia="楷体"/>
                <w:sz w:val="24"/>
                <w:lang w:val="en-US" w:eastAsia="zh-CN"/>
              </w:rPr>
              <w:t>教授</w:t>
            </w:r>
            <w:r>
              <w:rPr>
                <w:rFonts w:hint="default" w:ascii="楷体" w:hAnsi="楷体" w:eastAsia="楷体"/>
                <w:sz w:val="24"/>
                <w:lang w:val="en-US" w:eastAsia="zh-CN"/>
              </w:rPr>
              <w:fldChar w:fldCharType="end"/>
            </w:r>
            <w:r>
              <w:rPr>
                <w:rFonts w:hint="default" w:ascii="楷体" w:hAnsi="楷体" w:eastAsia="楷体"/>
                <w:sz w:val="24"/>
                <w:lang w:val="en-US" w:eastAsia="zh-CN"/>
              </w:rPr>
              <w:t>，</w:t>
            </w:r>
            <w:r>
              <w:rPr>
                <w:rFonts w:hint="eastAsia" w:ascii="楷体" w:hAnsi="楷体" w:eastAsia="楷体"/>
                <w:sz w:val="24"/>
                <w:lang w:val="en-US" w:eastAsia="zh-CN"/>
              </w:rPr>
              <w:t>港科大</w:t>
            </w:r>
            <w:r>
              <w:rPr>
                <w:rFonts w:hint="default" w:ascii="楷体" w:hAnsi="楷体" w:eastAsia="楷体"/>
                <w:sz w:val="24"/>
                <w:lang w:val="en-US" w:eastAsia="zh-CN"/>
              </w:rPr>
              <w:fldChar w:fldCharType="begin"/>
            </w:r>
            <w:r>
              <w:rPr>
                <w:rFonts w:hint="default" w:ascii="楷体" w:hAnsi="楷体" w:eastAsia="楷体"/>
                <w:sz w:val="24"/>
                <w:lang w:val="en-US" w:eastAsia="zh-CN"/>
              </w:rPr>
              <w:instrText xml:space="preserve"> HYPERLINK "http://home.cse.ust.hk/~taicl/" </w:instrText>
            </w:r>
            <w:r>
              <w:rPr>
                <w:rFonts w:hint="default" w:ascii="楷体" w:hAnsi="楷体" w:eastAsia="楷体"/>
                <w:sz w:val="24"/>
                <w:lang w:val="en-US" w:eastAsia="zh-CN"/>
              </w:rPr>
              <w:fldChar w:fldCharType="separate"/>
            </w:r>
            <w:r>
              <w:rPr>
                <w:rFonts w:hint="default" w:ascii="楷体" w:hAnsi="楷体" w:eastAsia="楷体"/>
                <w:sz w:val="24"/>
                <w:lang w:val="en-US" w:eastAsia="zh-CN"/>
              </w:rPr>
              <w:t>戴秋兰教授</w:t>
            </w:r>
            <w:r>
              <w:rPr>
                <w:rFonts w:hint="default" w:ascii="楷体" w:hAnsi="楷体" w:eastAsia="楷体"/>
                <w:sz w:val="24"/>
                <w:lang w:val="en-US" w:eastAsia="zh-CN"/>
              </w:rPr>
              <w:fldChar w:fldCharType="end"/>
            </w:r>
            <w:r>
              <w:rPr>
                <w:rFonts w:hint="default" w:ascii="楷体" w:hAnsi="楷体" w:eastAsia="楷体"/>
                <w:sz w:val="24"/>
                <w:lang w:val="en-US" w:eastAsia="zh-CN"/>
              </w:rPr>
              <w:t>保持了合作关系</w:t>
            </w:r>
            <w:r>
              <w:rPr>
                <w:rFonts w:hint="eastAsia" w:ascii="楷体" w:hAnsi="楷体" w:eastAsia="楷体"/>
                <w:sz w:val="24"/>
                <w:lang w:val="en-US" w:eastAsia="zh-CN"/>
              </w:rPr>
              <w:t>，不断有论文发表</w:t>
            </w:r>
            <w:r>
              <w:rPr>
                <w:rFonts w:hint="default" w:ascii="楷体" w:hAnsi="楷体" w:eastAsia="楷体"/>
                <w:sz w:val="24"/>
                <w:lang w:val="en-US" w:eastAsia="zh-CN"/>
              </w:rPr>
              <w:t>。</w:t>
            </w:r>
            <w:r>
              <w:rPr>
                <w:rFonts w:hint="eastAsia" w:ascii="楷体" w:hAnsi="楷体" w:eastAsia="楷体"/>
                <w:sz w:val="24"/>
                <w:lang w:val="en-US" w:eastAsia="zh-CN"/>
              </w:rPr>
              <w:t>担任</w:t>
            </w:r>
            <w:r>
              <w:rPr>
                <w:rFonts w:hint="default" w:ascii="Times New Roman" w:hAnsi="Times New Roman" w:eastAsia="楷体" w:cs="Times New Roman"/>
                <w:sz w:val="24"/>
                <w:lang w:val="en-US" w:eastAsia="zh-CN"/>
              </w:rPr>
              <w:t>HPCC2021(CCF-C)，CIKM(CCF-B)，ACPR2021</w:t>
            </w:r>
            <w:r>
              <w:rPr>
                <w:rFonts w:hint="eastAsia" w:ascii="楷体" w:hAnsi="楷体" w:eastAsia="楷体"/>
                <w:sz w:val="24"/>
                <w:lang w:val="en-US" w:eastAsia="zh-CN"/>
              </w:rPr>
              <w:t>等国际会议程序主席。</w:t>
            </w:r>
            <w:r>
              <w:rPr>
                <w:rFonts w:hint="default" w:ascii="楷体" w:hAnsi="楷体" w:eastAsia="楷体"/>
                <w:sz w:val="24"/>
                <w:lang w:val="en-US" w:eastAsia="zh-CN"/>
              </w:rPr>
              <w:t>获河海大学“大禹学者”第四层次资助。</w:t>
            </w:r>
          </w:p>
          <w:p>
            <w:pPr>
              <w:adjustRightInd w:val="0"/>
              <w:textAlignment w:val="baseline"/>
              <w:rPr>
                <w:rFonts w:hint="default" w:ascii="楷体" w:hAnsi="楷体" w:eastAsia="楷体"/>
                <w:b/>
                <w:bCs/>
                <w:sz w:val="24"/>
                <w:szCs w:val="24"/>
                <w:lang w:val="en-US" w:eastAsia="zh-CN"/>
              </w:rPr>
            </w:pPr>
            <w:r>
              <w:rPr>
                <w:rFonts w:hint="eastAsia" w:ascii="楷体" w:hAnsi="楷体" w:eastAsia="楷体"/>
                <w:b/>
                <w:bCs/>
                <w:sz w:val="24"/>
                <w:szCs w:val="24"/>
                <w:lang w:val="en-US" w:eastAsia="zh-CN"/>
              </w:rPr>
              <w:t>学术创新：</w:t>
            </w:r>
            <w:r>
              <w:rPr>
                <w:rFonts w:hint="eastAsia" w:ascii="楷体" w:hAnsi="楷体" w:eastAsia="楷体"/>
                <w:sz w:val="24"/>
                <w:lang w:val="en-US" w:eastAsia="zh-CN"/>
              </w:rPr>
              <w:t>在深度人工智能及大数据技术提升任务精度的背景上，深挖人工智能技术内核，搭建技术落地桥梁，重点解决1）智能模型在样本不足的情况下，数据表达能力弱，模型精准性差，难用准的问题，应用于智慧水利领域；2）智能模型在样本足的情况下，数据维度高，计算复杂度高，难用好的问题，应用于计算机视觉领域。</w:t>
            </w:r>
          </w:p>
          <w:p>
            <w:pPr>
              <w:adjustRightInd w:val="0"/>
              <w:textAlignment w:val="baseline"/>
              <w:rPr>
                <w:rFonts w:hint="default" w:ascii="楷体" w:hAnsi="楷体" w:eastAsiaTheme="minorEastAsia"/>
                <w:sz w:val="24"/>
                <w:lang w:val="en-US" w:eastAsia="zh-CN"/>
              </w:rPr>
            </w:pPr>
            <w:r>
              <w:rPr>
                <w:rFonts w:hint="eastAsia" w:ascii="楷体" w:hAnsi="楷体" w:eastAsia="楷体"/>
                <w:b/>
                <w:bCs/>
                <w:sz w:val="24"/>
                <w:szCs w:val="24"/>
                <w:lang w:val="en-US" w:eastAsia="zh-CN"/>
              </w:rPr>
              <w:t>主要学术贡献：</w:t>
            </w:r>
            <w:r>
              <w:rPr>
                <w:rFonts w:hint="eastAsia" w:ascii="楷体" w:hAnsi="楷体" w:eastAsia="楷体"/>
                <w:sz w:val="24"/>
                <w:lang w:val="en-US" w:eastAsia="zh-CN"/>
              </w:rPr>
              <w:t>针对“难用准”问题，创新研发了流域场景模式库技术，解决了小样本水资源历史数据中模式的挖掘与应用问题，支撑流域趋势快速预测；创新提出了迭代反馈神经网络结构，通过充分挖掘小样本特征表达能力，增强小样本数据精度，提升深度智能模型性能。针对“难用好”问题，基于频谱分析与压缩及显著性区域建模等技术，降低输入数据维度，提取数据关键信息，实时分析复杂时序数据。</w:t>
            </w:r>
          </w:p>
          <w:p>
            <w:pPr>
              <w:adjustRightInd w:val="0"/>
              <w:textAlignment w:val="baseline"/>
              <w:rPr>
                <w:rFonts w:hint="eastAsia" w:ascii="楷体" w:hAnsi="楷体" w:eastAsia="楷体"/>
                <w:sz w:val="24"/>
                <w:lang w:val="en-US" w:eastAsia="zh-CN"/>
              </w:rPr>
            </w:pPr>
            <w:r>
              <w:rPr>
                <w:rFonts w:hint="eastAsia" w:ascii="楷体" w:hAnsi="楷体" w:eastAsia="楷体"/>
                <w:b/>
                <w:bCs/>
                <w:sz w:val="24"/>
                <w:szCs w:val="24"/>
                <w:lang w:val="en-US" w:eastAsia="zh-CN"/>
              </w:rPr>
              <w:t>重要创新成果：</w:t>
            </w:r>
            <w:r>
              <w:rPr>
                <w:rFonts w:hint="eastAsia" w:ascii="楷体" w:hAnsi="楷体" w:eastAsia="楷体"/>
                <w:sz w:val="24"/>
                <w:lang w:val="en-US" w:eastAsia="zh-CN"/>
              </w:rPr>
              <w:t>基于流域场景模式库技术，首创水文时空特征模式库，实现中小河流洪水预报趋势校正，在以浙江昌化、陕西黑河及安徽屯溪为代表的中小流域成功应用，提升以江苏为代表的湿润区域、北方干旱/半干旱区域的洪水预报精度及预见期。无资料地区通过相似河流洪水模式迁移，实现预报模型从无到有。开发了深圳水质污染成因溯源系统，提升河道污染成因分析效率5倍以上，列入水利部智慧水利先行先试智慧流域项目。</w:t>
            </w:r>
            <w:r>
              <w:rPr>
                <w:rFonts w:ascii="楷体" w:hAnsi="楷体" w:eastAsia="楷体"/>
                <w:sz w:val="24"/>
              </w:rPr>
              <w:t>开发了</w:t>
            </w:r>
            <w:r>
              <w:rPr>
                <w:rFonts w:hint="eastAsia" w:ascii="楷体" w:hAnsi="楷体" w:eastAsia="楷体"/>
                <w:sz w:val="24"/>
              </w:rPr>
              <w:t>人体动作驱动的雕塑姿态交互编辑系统</w:t>
            </w:r>
            <w:r>
              <w:rPr>
                <w:rFonts w:hint="eastAsia" w:ascii="楷体" w:hAnsi="楷体" w:eastAsia="楷体"/>
                <w:sz w:val="24"/>
                <w:lang w:eastAsia="zh-CN"/>
              </w:rPr>
              <w:t>，</w:t>
            </w:r>
            <w:r>
              <w:rPr>
                <w:rFonts w:ascii="楷体" w:hAnsi="楷体" w:eastAsia="楷体"/>
                <w:sz w:val="24"/>
              </w:rPr>
              <w:t>通过深度摄像机捕捉人体动作，将</w:t>
            </w:r>
            <w:r>
              <w:rPr>
                <w:rFonts w:hint="eastAsia" w:ascii="楷体" w:hAnsi="楷体" w:eastAsia="楷体"/>
                <w:sz w:val="24"/>
                <w:lang w:eastAsia="zh-CN"/>
              </w:rPr>
              <w:t>复杂</w:t>
            </w:r>
            <w:r>
              <w:rPr>
                <w:rFonts w:hint="eastAsia" w:ascii="楷体" w:hAnsi="楷体" w:eastAsia="楷体"/>
                <w:sz w:val="24"/>
                <w:lang w:val="en-US" w:eastAsia="zh-CN"/>
              </w:rPr>
              <w:t>的人体</w:t>
            </w:r>
            <w:r>
              <w:rPr>
                <w:rFonts w:ascii="楷体" w:hAnsi="楷体" w:eastAsia="楷体"/>
                <w:sz w:val="24"/>
              </w:rPr>
              <w:t>动作实时映射到三维雕塑上，使雕塑家能</w:t>
            </w:r>
            <w:r>
              <w:rPr>
                <w:rFonts w:hint="eastAsia" w:ascii="楷体" w:hAnsi="楷体" w:eastAsia="楷体"/>
                <w:sz w:val="24"/>
                <w:lang w:val="en-US" w:eastAsia="zh-CN"/>
              </w:rPr>
              <w:t>实及时</w:t>
            </w:r>
            <w:r>
              <w:rPr>
                <w:rFonts w:ascii="楷体" w:hAnsi="楷体" w:eastAsia="楷体"/>
                <w:sz w:val="24"/>
              </w:rPr>
              <w:t>观察到姿态改变对雕塑的影响</w:t>
            </w:r>
            <w:r>
              <w:rPr>
                <w:rFonts w:hint="eastAsia" w:ascii="楷体" w:hAnsi="楷体" w:eastAsia="楷体"/>
                <w:sz w:val="24"/>
                <w:lang w:eastAsia="zh-CN"/>
              </w:rPr>
              <w:t>。与传统软件ZBrush相比，提升了7倍工作效率，</w:t>
            </w:r>
            <w:r>
              <w:rPr>
                <w:rFonts w:hint="eastAsia" w:ascii="楷体" w:hAnsi="楷体" w:eastAsia="楷体"/>
                <w:sz w:val="24"/>
                <w:lang w:val="en-US" w:eastAsia="zh-CN"/>
              </w:rPr>
              <w:t>入选Intel实验室智能艺术计算项目</w:t>
            </w:r>
            <w:r>
              <w:rPr>
                <w:rFonts w:ascii="楷体" w:hAnsi="楷体" w:eastAsia="楷体"/>
                <w:sz w:val="24"/>
              </w:rPr>
              <w:t>。</w:t>
            </w:r>
          </w:p>
          <w:p>
            <w:pPr>
              <w:rPr>
                <w:rFonts w:hint="default" w:ascii="楷体" w:hAnsi="楷体" w:eastAsia="楷体"/>
                <w:sz w:val="24"/>
                <w:lang w:val="en-US" w:eastAsia="zh-CN"/>
              </w:rPr>
            </w:pPr>
            <w:r>
              <w:rPr>
                <w:rFonts w:hint="eastAsia" w:ascii="楷体" w:hAnsi="楷体" w:eastAsia="楷体"/>
                <w:b/>
                <w:bCs/>
                <w:sz w:val="24"/>
                <w:szCs w:val="24"/>
                <w:lang w:val="en-US" w:eastAsia="zh-CN"/>
              </w:rPr>
              <w:t>科学价值或社会经济意义：</w:t>
            </w:r>
            <w:r>
              <w:rPr>
                <w:rFonts w:hint="eastAsia" w:ascii="楷体" w:hAnsi="楷体" w:eastAsia="楷体"/>
                <w:sz w:val="24"/>
                <w:lang w:val="en-US" w:eastAsia="zh-CN"/>
              </w:rPr>
              <w:t>场景模式库技术将大数据挖掘与流域水资源管理相结合，加入大数据的思路与方法，挖掘潜在多要素与预测目标间的关联规律，提供了一套通过学科交叉，赋能水利业务的技术可行方案。该技术处于国内外先进水平，有效提升基于历史与实时、静态与动态、局部与全局的流域水资源管理智能水平，为中小河流洪水预报、河流污染溯源分析等河湖管理研究提供了全新的视角，被英国皇家工程院院士评价“对不充分数据实现了基于深度智能方法的数据增强”。</w:t>
            </w:r>
            <w:r>
              <w:rPr>
                <w:rFonts w:hint="eastAsia" w:ascii="楷体" w:hAnsi="楷体" w:eastAsia="楷体"/>
                <w:sz w:val="24"/>
              </w:rPr>
              <w:t>雕塑姿态交互编辑系统</w:t>
            </w:r>
            <w:r>
              <w:rPr>
                <w:rFonts w:hint="eastAsia" w:ascii="楷体" w:hAnsi="楷体" w:eastAsia="楷体"/>
                <w:sz w:val="24"/>
                <w:lang w:val="en-US" w:eastAsia="zh-CN"/>
              </w:rPr>
              <w:t>被</w:t>
            </w:r>
            <w:r>
              <w:rPr>
                <w:rFonts w:hint="default" w:ascii="Times New Roman" w:hAnsi="Times New Roman" w:eastAsia="楷体" w:cs="Times New Roman"/>
                <w:sz w:val="24"/>
                <w:lang w:val="en-US" w:eastAsia="zh-CN"/>
              </w:rPr>
              <w:t>IEEE Fellow</w:t>
            </w:r>
            <w:r>
              <w:rPr>
                <w:rFonts w:hint="eastAsia" w:ascii="楷体" w:hAnsi="楷体" w:eastAsia="楷体"/>
                <w:sz w:val="24"/>
                <w:lang w:val="en-US" w:eastAsia="zh-CN"/>
              </w:rPr>
              <w:t>评价“</w:t>
            </w:r>
            <w:r>
              <w:rPr>
                <w:rFonts w:hint="eastAsia" w:ascii="楷体" w:hAnsi="楷体" w:eastAsia="楷体"/>
                <w:sz w:val="24"/>
              </w:rPr>
              <w:t>形成了强大的、可用于交互或实时运算的模型编辑算法</w:t>
            </w:r>
            <w:r>
              <w:rPr>
                <w:rFonts w:hint="eastAsia" w:ascii="楷体" w:hAnsi="楷体" w:eastAsia="楷体"/>
                <w:sz w:val="24"/>
                <w:lang w:eastAsia="zh-CN"/>
              </w:rPr>
              <w:t>”，</w:t>
            </w:r>
            <w:r>
              <w:rPr>
                <w:rFonts w:hint="eastAsia" w:ascii="楷体" w:hAnsi="楷体" w:eastAsia="楷体"/>
                <w:sz w:val="24"/>
                <w:lang w:val="en-US" w:eastAsia="zh-CN"/>
              </w:rPr>
              <w:t>为传统雕塑带来了迭代式和增量式的流程，让雕塑编辑技术不再需要专业的编辑软件知识。</w:t>
            </w:r>
          </w:p>
          <w:p>
            <w:pPr>
              <w:rPr>
                <w:rFonts w:hint="default" w:ascii="楷体" w:hAnsi="楷体" w:eastAsia="楷体"/>
                <w:sz w:val="24"/>
                <w:lang w:val="en-US" w:eastAsia="zh-CN"/>
              </w:rPr>
            </w:pPr>
          </w:p>
          <w:p>
            <w:pPr>
              <w:adjustRightInd w:val="0"/>
              <w:textAlignment w:val="baseline"/>
              <w:rPr>
                <w:rFonts w:hint="default" w:ascii="楷体" w:hAnsi="楷体" w:eastAsia="楷体"/>
                <w:b/>
                <w:bCs/>
                <w:sz w:val="24"/>
                <w:szCs w:val="24"/>
                <w:lang w:val="en-US" w:eastAsia="zh-CN"/>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Cs w:val="21"/>
              </w:rPr>
            </w:pPr>
          </w:p>
          <w:p>
            <w:pPr>
              <w:jc w:val="left"/>
              <w:rPr>
                <w:rFonts w:ascii="楷体" w:hAnsi="楷体" w:eastAsia="楷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8931" w:type="dxa"/>
            <w:gridSpan w:val="10"/>
            <w:vAlign w:val="center"/>
          </w:tcPr>
          <w:p>
            <w:pPr>
              <w:jc w:val="left"/>
              <w:rPr>
                <w:rFonts w:ascii="Times New Roman" w:hAnsi="Times New Roman"/>
                <w:b/>
                <w:szCs w:val="21"/>
              </w:rPr>
            </w:pPr>
            <w:r>
              <w:rPr>
                <w:rFonts w:hint="eastAsia" w:ascii="黑体" w:hAnsi="黑体" w:eastAsia="黑体"/>
                <w:sz w:val="24"/>
                <w:szCs w:val="24"/>
              </w:rPr>
              <w:t>2．主持</w:t>
            </w:r>
            <w:r>
              <w:rPr>
                <w:rFonts w:ascii="黑体" w:hAnsi="黑体" w:eastAsia="黑体"/>
                <w:sz w:val="24"/>
                <w:szCs w:val="24"/>
              </w:rPr>
              <w:t>科研项目</w:t>
            </w:r>
            <w:r>
              <w:rPr>
                <w:rFonts w:hint="eastAsia" w:ascii="黑体" w:hAnsi="黑体" w:eastAsia="黑体"/>
                <w:sz w:val="24"/>
                <w:szCs w:val="24"/>
              </w:rPr>
              <w:t>（</w:t>
            </w:r>
            <w:r>
              <w:rPr>
                <w:rFonts w:ascii="黑体" w:hAnsi="黑体" w:eastAsia="黑体"/>
                <w:sz w:val="24"/>
                <w:szCs w:val="24"/>
              </w:rPr>
              <w:t>省部级及以上）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964" w:type="dxa"/>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序号</w:t>
            </w:r>
          </w:p>
        </w:tc>
        <w:tc>
          <w:tcPr>
            <w:tcW w:w="4395" w:type="dxa"/>
            <w:gridSpan w:val="4"/>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项目名称</w:t>
            </w:r>
          </w:p>
        </w:tc>
        <w:tc>
          <w:tcPr>
            <w:tcW w:w="2299" w:type="dxa"/>
            <w:gridSpan w:val="4"/>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项目</w:t>
            </w:r>
            <w:r>
              <w:rPr>
                <w:rFonts w:hint="eastAsia" w:ascii="宋体" w:hAnsi="宋体" w:eastAsia="宋体" w:cs="宋体"/>
                <w:sz w:val="21"/>
                <w:szCs w:val="21"/>
              </w:rPr>
              <w:t>类别</w:t>
            </w:r>
          </w:p>
        </w:tc>
        <w:tc>
          <w:tcPr>
            <w:tcW w:w="1273" w:type="dxa"/>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项目</w:t>
            </w:r>
            <w:r>
              <w:rPr>
                <w:rFonts w:hint="eastAsia" w:ascii="宋体" w:hAnsi="宋体" w:eastAsia="宋体" w:cs="宋体"/>
                <w:sz w:val="21"/>
                <w:szCs w:val="21"/>
              </w:rPr>
              <w:t>执行期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1</w:t>
            </w:r>
          </w:p>
        </w:tc>
        <w:tc>
          <w:tcPr>
            <w:tcW w:w="4395" w:type="dxa"/>
            <w:gridSpan w:val="4"/>
            <w:vAlign w:val="center"/>
          </w:tcPr>
          <w:p>
            <w:pPr>
              <w:jc w:val="center"/>
              <w:rPr>
                <w:rFonts w:hint="eastAsia" w:ascii="楷体" w:hAnsi="楷体" w:eastAsia="楷体"/>
                <w:sz w:val="24"/>
                <w:szCs w:val="24"/>
                <w:lang w:val="en-US" w:eastAsia="zh-CN"/>
              </w:rPr>
            </w:pPr>
            <w:r>
              <w:rPr>
                <w:rFonts w:hint="eastAsia" w:ascii="楷体" w:hAnsi="楷体" w:eastAsia="楷体"/>
                <w:sz w:val="24"/>
                <w:szCs w:val="24"/>
                <w:lang w:val="en-US" w:eastAsia="zh-CN"/>
              </w:rPr>
              <w:t>基于文字对称性与场景上下文信息的自然场景文字检测研究</w:t>
            </w:r>
          </w:p>
        </w:tc>
        <w:tc>
          <w:tcPr>
            <w:tcW w:w="2299" w:type="dxa"/>
            <w:gridSpan w:val="4"/>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国家青年基金</w:t>
            </w:r>
          </w:p>
        </w:tc>
        <w:tc>
          <w:tcPr>
            <w:tcW w:w="1273"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2018.12-2021.03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2</w:t>
            </w:r>
          </w:p>
        </w:tc>
        <w:tc>
          <w:tcPr>
            <w:tcW w:w="4395" w:type="dxa"/>
            <w:gridSpan w:val="4"/>
            <w:vAlign w:val="center"/>
          </w:tcPr>
          <w:p>
            <w:pPr>
              <w:jc w:val="center"/>
              <w:rPr>
                <w:rFonts w:hint="eastAsia" w:ascii="楷体" w:hAnsi="楷体" w:eastAsia="楷体"/>
                <w:sz w:val="24"/>
                <w:szCs w:val="24"/>
                <w:lang w:val="en-US" w:eastAsia="zh-CN"/>
              </w:rPr>
            </w:pPr>
            <w:r>
              <w:rPr>
                <w:rFonts w:hint="eastAsia" w:ascii="楷体" w:hAnsi="楷体" w:eastAsia="楷体"/>
                <w:sz w:val="24"/>
                <w:szCs w:val="24"/>
                <w:lang w:val="en-US" w:eastAsia="zh-CN"/>
              </w:rPr>
              <w:t>融合文字对称属性与场景上下文信息的自然场景文字检测研究</w:t>
            </w:r>
          </w:p>
        </w:tc>
        <w:tc>
          <w:tcPr>
            <w:tcW w:w="2299" w:type="dxa"/>
            <w:gridSpan w:val="4"/>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江苏省青年基金</w:t>
            </w:r>
          </w:p>
        </w:tc>
        <w:tc>
          <w:tcPr>
            <w:tcW w:w="1273"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2017.07-2020.12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3</w:t>
            </w:r>
          </w:p>
        </w:tc>
        <w:tc>
          <w:tcPr>
            <w:tcW w:w="4395" w:type="dxa"/>
            <w:gridSpan w:val="4"/>
            <w:vAlign w:val="center"/>
          </w:tcPr>
          <w:p>
            <w:pPr>
              <w:jc w:val="center"/>
              <w:rPr>
                <w:rFonts w:hint="eastAsia" w:ascii="楷体" w:hAnsi="楷体" w:eastAsia="楷体"/>
                <w:sz w:val="24"/>
                <w:szCs w:val="24"/>
                <w:lang w:val="en-US" w:eastAsia="zh-CN"/>
              </w:rPr>
            </w:pPr>
            <w:r>
              <w:rPr>
                <w:rFonts w:hint="eastAsia" w:ascii="楷体" w:hAnsi="楷体" w:eastAsia="楷体"/>
                <w:sz w:val="24"/>
                <w:szCs w:val="24"/>
                <w:lang w:val="en-US" w:eastAsia="zh-CN"/>
              </w:rPr>
              <w:t>大数据驱动的流域智能管理与决策关键技术</w:t>
            </w:r>
          </w:p>
        </w:tc>
        <w:tc>
          <w:tcPr>
            <w:tcW w:w="2299" w:type="dxa"/>
            <w:gridSpan w:val="4"/>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重点研发子专题</w:t>
            </w:r>
          </w:p>
        </w:tc>
        <w:tc>
          <w:tcPr>
            <w:tcW w:w="1273"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2018.07-2021.06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4</w:t>
            </w:r>
          </w:p>
        </w:tc>
        <w:tc>
          <w:tcPr>
            <w:tcW w:w="4395" w:type="dxa"/>
            <w:gridSpan w:val="4"/>
            <w:vAlign w:val="center"/>
          </w:tcPr>
          <w:p>
            <w:pPr>
              <w:jc w:val="center"/>
              <w:rPr>
                <w:rFonts w:hint="eastAsia" w:ascii="楷体" w:hAnsi="楷体" w:eastAsia="楷体"/>
                <w:sz w:val="24"/>
                <w:szCs w:val="24"/>
                <w:lang w:val="en-US" w:eastAsia="zh-CN"/>
              </w:rPr>
            </w:pPr>
            <w:r>
              <w:rPr>
                <w:rFonts w:hint="eastAsia" w:ascii="楷体" w:hAnsi="楷体" w:eastAsia="楷体"/>
                <w:sz w:val="24"/>
                <w:szCs w:val="24"/>
                <w:lang w:val="en-US" w:eastAsia="zh-CN"/>
              </w:rPr>
              <w:t>多尺度流域水资源和水利设施遥感监测应用示范</w:t>
            </w:r>
          </w:p>
          <w:p>
            <w:pPr>
              <w:jc w:val="center"/>
              <w:rPr>
                <w:rFonts w:hint="eastAsia" w:ascii="楷体" w:hAnsi="楷体" w:eastAsia="楷体"/>
                <w:sz w:val="24"/>
                <w:szCs w:val="24"/>
                <w:lang w:val="en-US" w:eastAsia="zh-CN"/>
              </w:rPr>
            </w:pPr>
          </w:p>
        </w:tc>
        <w:tc>
          <w:tcPr>
            <w:tcW w:w="2299" w:type="dxa"/>
            <w:gridSpan w:val="4"/>
            <w:vAlign w:val="center"/>
          </w:tcPr>
          <w:p>
            <w:pPr>
              <w:jc w:val="center"/>
              <w:rPr>
                <w:rFonts w:hint="eastAsia" w:ascii="楷体" w:hAnsi="楷体" w:eastAsia="楷体"/>
                <w:sz w:val="24"/>
                <w:szCs w:val="24"/>
                <w:lang w:val="en-US" w:eastAsia="zh-CN"/>
              </w:rPr>
            </w:pPr>
            <w:r>
              <w:rPr>
                <w:rFonts w:hint="eastAsia" w:ascii="楷体" w:hAnsi="楷体" w:eastAsia="楷体"/>
                <w:sz w:val="24"/>
                <w:szCs w:val="24"/>
                <w:lang w:val="en-US" w:eastAsia="zh-CN"/>
              </w:rPr>
              <w:t>重点研发子专题</w:t>
            </w:r>
          </w:p>
        </w:tc>
        <w:tc>
          <w:tcPr>
            <w:tcW w:w="1273"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2021.12-2025.12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5</w:t>
            </w:r>
          </w:p>
        </w:tc>
        <w:tc>
          <w:tcPr>
            <w:tcW w:w="4395" w:type="dxa"/>
            <w:gridSpan w:val="4"/>
            <w:vAlign w:val="center"/>
          </w:tcPr>
          <w:p>
            <w:pPr>
              <w:jc w:val="center"/>
              <w:rPr>
                <w:rFonts w:hint="eastAsia" w:ascii="楷体" w:hAnsi="楷体" w:eastAsia="楷体"/>
                <w:sz w:val="24"/>
                <w:szCs w:val="24"/>
                <w:lang w:val="en-US" w:eastAsia="zh-CN"/>
              </w:rPr>
            </w:pPr>
            <w:r>
              <w:rPr>
                <w:rFonts w:hint="eastAsia" w:ascii="楷体" w:hAnsi="楷体" w:eastAsia="楷体"/>
                <w:sz w:val="24"/>
                <w:szCs w:val="24"/>
                <w:lang w:val="en-US" w:eastAsia="zh-CN"/>
              </w:rPr>
              <w:t>基于文字对称性与上下文关系的自然场景文字检测研究</w:t>
            </w:r>
          </w:p>
        </w:tc>
        <w:tc>
          <w:tcPr>
            <w:tcW w:w="2299" w:type="dxa"/>
            <w:gridSpan w:val="4"/>
            <w:vAlign w:val="center"/>
          </w:tcPr>
          <w:p>
            <w:pPr>
              <w:jc w:val="center"/>
              <w:rPr>
                <w:rFonts w:hint="eastAsia" w:ascii="楷体" w:hAnsi="楷体" w:eastAsia="楷体"/>
                <w:sz w:val="24"/>
                <w:szCs w:val="24"/>
                <w:lang w:val="en-US" w:eastAsia="zh-CN"/>
              </w:rPr>
            </w:pPr>
            <w:r>
              <w:rPr>
                <w:rFonts w:hint="eastAsia" w:ascii="楷体" w:hAnsi="楷体" w:eastAsia="楷体"/>
                <w:sz w:val="24"/>
                <w:szCs w:val="24"/>
                <w:lang w:val="en-US" w:eastAsia="zh-CN"/>
              </w:rPr>
              <w:t>国家重点实验室开放基金</w:t>
            </w:r>
          </w:p>
        </w:tc>
        <w:tc>
          <w:tcPr>
            <w:tcW w:w="1273"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2017.06-2019.06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6</w:t>
            </w:r>
          </w:p>
        </w:tc>
        <w:tc>
          <w:tcPr>
            <w:tcW w:w="4395" w:type="dxa"/>
            <w:gridSpan w:val="4"/>
            <w:vAlign w:val="center"/>
          </w:tcPr>
          <w:p>
            <w:pPr>
              <w:jc w:val="center"/>
              <w:rPr>
                <w:rFonts w:hint="eastAsia" w:ascii="楷体" w:hAnsi="楷体" w:eastAsia="楷体"/>
                <w:sz w:val="24"/>
                <w:szCs w:val="24"/>
                <w:lang w:val="en-US" w:eastAsia="zh-CN"/>
              </w:rPr>
            </w:pPr>
            <w:r>
              <w:rPr>
                <w:rFonts w:hint="eastAsia" w:ascii="楷体" w:hAnsi="楷体" w:eastAsia="楷体"/>
                <w:sz w:val="24"/>
                <w:szCs w:val="24"/>
                <w:lang w:val="en-US" w:eastAsia="zh-CN"/>
              </w:rPr>
              <w:t>跨模态流域智能管理与决策模式库构建方法与应用</w:t>
            </w:r>
          </w:p>
        </w:tc>
        <w:tc>
          <w:tcPr>
            <w:tcW w:w="2299" w:type="dxa"/>
            <w:gridSpan w:val="4"/>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中央高校基金</w:t>
            </w:r>
          </w:p>
        </w:tc>
        <w:tc>
          <w:tcPr>
            <w:tcW w:w="1273"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2020.01-2021.12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4395" w:type="dxa"/>
            <w:gridSpan w:val="4"/>
            <w:vAlign w:val="center"/>
          </w:tcPr>
          <w:p>
            <w:pPr>
              <w:jc w:val="center"/>
              <w:rPr>
                <w:rFonts w:hint="eastAsia" w:ascii="楷体" w:hAnsi="楷体" w:eastAsia="楷体"/>
                <w:sz w:val="24"/>
                <w:szCs w:val="24"/>
                <w:lang w:val="en-US" w:eastAsia="zh-CN"/>
              </w:rPr>
            </w:pPr>
            <w:r>
              <w:rPr>
                <w:rFonts w:hint="eastAsia" w:ascii="楷体" w:hAnsi="楷体" w:eastAsia="楷体"/>
                <w:sz w:val="24"/>
                <w:szCs w:val="24"/>
                <w:lang w:val="en-US" w:eastAsia="zh-CN"/>
              </w:rPr>
              <w:t>基于卷积神经网络的场景文字检测模型研究</w:t>
            </w:r>
          </w:p>
        </w:tc>
        <w:tc>
          <w:tcPr>
            <w:tcW w:w="2299" w:type="dxa"/>
            <w:gridSpan w:val="4"/>
            <w:vAlign w:val="center"/>
          </w:tcPr>
          <w:p>
            <w:pPr>
              <w:jc w:val="center"/>
              <w:rPr>
                <w:rFonts w:hint="eastAsia" w:ascii="楷体" w:hAnsi="楷体" w:eastAsia="楷体"/>
                <w:sz w:val="24"/>
                <w:szCs w:val="24"/>
                <w:lang w:val="en-US" w:eastAsia="zh-CN"/>
              </w:rPr>
            </w:pPr>
            <w:r>
              <w:rPr>
                <w:rFonts w:hint="eastAsia" w:ascii="楷体" w:hAnsi="楷体" w:eastAsia="楷体"/>
                <w:sz w:val="24"/>
                <w:szCs w:val="24"/>
                <w:lang w:val="en-US" w:eastAsia="zh-CN"/>
              </w:rPr>
              <w:t>中央高校基金</w:t>
            </w:r>
          </w:p>
        </w:tc>
        <w:tc>
          <w:tcPr>
            <w:tcW w:w="1273"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2016.06-2018.06</w:t>
            </w:r>
          </w:p>
        </w:tc>
      </w:tr>
    </w:tbl>
    <w:p>
      <w:pPr>
        <w:jc w:val="left"/>
        <w:rPr>
          <w:rFonts w:ascii="Times New Roman" w:hAnsi="Times New Roman" w:eastAsia="黑体"/>
          <w:szCs w:val="21"/>
        </w:rPr>
      </w:pPr>
    </w:p>
    <w:tbl>
      <w:tblPr>
        <w:tblStyle w:val="9"/>
        <w:tblW w:w="8931"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4"/>
        <w:gridCol w:w="2268"/>
        <w:gridCol w:w="2694"/>
        <w:gridCol w:w="1559"/>
        <w:gridCol w:w="14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8931" w:type="dxa"/>
            <w:gridSpan w:val="5"/>
            <w:vAlign w:val="center"/>
          </w:tcPr>
          <w:p>
            <w:pPr>
              <w:jc w:val="left"/>
              <w:rPr>
                <w:rFonts w:ascii="Times New Roman" w:hAnsi="Times New Roman"/>
                <w:b/>
                <w:szCs w:val="21"/>
              </w:rPr>
            </w:pPr>
            <w:r>
              <w:rPr>
                <w:rFonts w:hint="eastAsia" w:ascii="黑体" w:hAnsi="黑体" w:eastAsia="黑体"/>
                <w:sz w:val="24"/>
                <w:szCs w:val="24"/>
              </w:rPr>
              <w:t>3．</w:t>
            </w:r>
            <w:r>
              <w:rPr>
                <w:rFonts w:ascii="黑体" w:hAnsi="黑体" w:eastAsia="黑体"/>
                <w:sz w:val="24"/>
                <w:szCs w:val="24"/>
              </w:rPr>
              <w:t>科研获奖</w:t>
            </w:r>
            <w:r>
              <w:rPr>
                <w:rFonts w:hint="eastAsia" w:ascii="黑体" w:hAnsi="黑体" w:eastAsia="黑体"/>
                <w:sz w:val="24"/>
                <w:szCs w:val="24"/>
              </w:rPr>
              <w:t>（</w:t>
            </w:r>
            <w:r>
              <w:rPr>
                <w:rFonts w:ascii="黑体" w:hAnsi="黑体" w:eastAsia="黑体"/>
                <w:sz w:val="24"/>
                <w:szCs w:val="24"/>
              </w:rPr>
              <w:t>省部级及以上）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964" w:type="dxa"/>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序号</w:t>
            </w:r>
          </w:p>
        </w:tc>
        <w:tc>
          <w:tcPr>
            <w:tcW w:w="2268" w:type="dxa"/>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获奖项目名称</w:t>
            </w:r>
          </w:p>
        </w:tc>
        <w:tc>
          <w:tcPr>
            <w:tcW w:w="2694" w:type="dxa"/>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奖励</w:t>
            </w:r>
            <w:r>
              <w:rPr>
                <w:rFonts w:hint="eastAsia" w:ascii="宋体" w:hAnsi="宋体" w:eastAsia="宋体" w:cs="宋体"/>
                <w:sz w:val="21"/>
                <w:szCs w:val="21"/>
              </w:rPr>
              <w:t>类别</w:t>
            </w:r>
          </w:p>
        </w:tc>
        <w:tc>
          <w:tcPr>
            <w:tcW w:w="1559"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获奖年度</w:t>
            </w:r>
          </w:p>
        </w:tc>
        <w:tc>
          <w:tcPr>
            <w:tcW w:w="1446"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个人排序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1</w:t>
            </w:r>
          </w:p>
        </w:tc>
        <w:tc>
          <w:tcPr>
            <w:tcW w:w="2268" w:type="dxa"/>
            <w:vAlign w:val="center"/>
          </w:tcPr>
          <w:p>
            <w:pPr>
              <w:snapToGrid w:val="0"/>
              <w:spacing w:line="320" w:lineRule="atLeast"/>
              <w:jc w:val="center"/>
              <w:rPr>
                <w:rFonts w:ascii="宋体" w:hAnsi="宋体" w:eastAsia="宋体" w:cs="宋体"/>
                <w:sz w:val="21"/>
                <w:szCs w:val="21"/>
              </w:rPr>
            </w:pPr>
          </w:p>
        </w:tc>
        <w:tc>
          <w:tcPr>
            <w:tcW w:w="2694" w:type="dxa"/>
            <w:vAlign w:val="center"/>
          </w:tcPr>
          <w:p>
            <w:pPr>
              <w:snapToGrid w:val="0"/>
              <w:spacing w:line="320" w:lineRule="atLeast"/>
              <w:jc w:val="center"/>
              <w:rPr>
                <w:rFonts w:ascii="宋体" w:hAnsi="宋体" w:eastAsia="宋体" w:cs="宋体"/>
                <w:sz w:val="21"/>
                <w:szCs w:val="21"/>
              </w:rPr>
            </w:pPr>
          </w:p>
        </w:tc>
        <w:tc>
          <w:tcPr>
            <w:tcW w:w="1559" w:type="dxa"/>
            <w:vAlign w:val="center"/>
          </w:tcPr>
          <w:p>
            <w:pPr>
              <w:snapToGrid w:val="0"/>
              <w:spacing w:line="320" w:lineRule="atLeast"/>
              <w:jc w:val="center"/>
              <w:rPr>
                <w:rFonts w:ascii="宋体" w:hAnsi="宋体" w:eastAsia="宋体" w:cs="宋体"/>
                <w:sz w:val="21"/>
                <w:szCs w:val="21"/>
              </w:rPr>
            </w:pPr>
          </w:p>
        </w:tc>
        <w:tc>
          <w:tcPr>
            <w:tcW w:w="1446" w:type="dxa"/>
            <w:vAlign w:val="center"/>
          </w:tcPr>
          <w:p>
            <w:pPr>
              <w:snapToGrid w:val="0"/>
              <w:spacing w:line="320" w:lineRule="atLeast"/>
              <w:jc w:val="center"/>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2</w:t>
            </w:r>
          </w:p>
        </w:tc>
        <w:tc>
          <w:tcPr>
            <w:tcW w:w="2268" w:type="dxa"/>
            <w:vAlign w:val="center"/>
          </w:tcPr>
          <w:p>
            <w:pPr>
              <w:snapToGrid w:val="0"/>
              <w:spacing w:line="320" w:lineRule="atLeast"/>
              <w:jc w:val="center"/>
              <w:rPr>
                <w:rFonts w:ascii="宋体" w:hAnsi="宋体" w:eastAsia="宋体" w:cs="宋体"/>
                <w:sz w:val="21"/>
                <w:szCs w:val="21"/>
              </w:rPr>
            </w:pPr>
          </w:p>
        </w:tc>
        <w:tc>
          <w:tcPr>
            <w:tcW w:w="2694" w:type="dxa"/>
            <w:vAlign w:val="center"/>
          </w:tcPr>
          <w:p>
            <w:pPr>
              <w:snapToGrid w:val="0"/>
              <w:spacing w:line="320" w:lineRule="atLeast"/>
              <w:jc w:val="center"/>
              <w:rPr>
                <w:rFonts w:ascii="宋体" w:hAnsi="宋体" w:eastAsia="宋体" w:cs="宋体"/>
                <w:sz w:val="21"/>
                <w:szCs w:val="21"/>
              </w:rPr>
            </w:pPr>
          </w:p>
        </w:tc>
        <w:tc>
          <w:tcPr>
            <w:tcW w:w="1559" w:type="dxa"/>
            <w:vAlign w:val="center"/>
          </w:tcPr>
          <w:p>
            <w:pPr>
              <w:snapToGrid w:val="0"/>
              <w:spacing w:line="320" w:lineRule="atLeast"/>
              <w:jc w:val="center"/>
              <w:rPr>
                <w:rFonts w:ascii="宋体" w:hAnsi="宋体" w:eastAsia="宋体" w:cs="宋体"/>
                <w:sz w:val="21"/>
                <w:szCs w:val="21"/>
              </w:rPr>
            </w:pPr>
          </w:p>
        </w:tc>
        <w:tc>
          <w:tcPr>
            <w:tcW w:w="1446" w:type="dxa"/>
            <w:vAlign w:val="center"/>
          </w:tcPr>
          <w:p>
            <w:pPr>
              <w:snapToGrid w:val="0"/>
              <w:spacing w:line="320" w:lineRule="atLeast"/>
              <w:jc w:val="center"/>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3</w:t>
            </w:r>
          </w:p>
        </w:tc>
        <w:tc>
          <w:tcPr>
            <w:tcW w:w="2268" w:type="dxa"/>
            <w:vAlign w:val="center"/>
          </w:tcPr>
          <w:p>
            <w:pPr>
              <w:snapToGrid w:val="0"/>
              <w:spacing w:line="320" w:lineRule="atLeast"/>
              <w:jc w:val="center"/>
              <w:rPr>
                <w:rFonts w:ascii="宋体" w:hAnsi="宋体" w:eastAsia="宋体" w:cs="宋体"/>
                <w:sz w:val="21"/>
                <w:szCs w:val="21"/>
              </w:rPr>
            </w:pPr>
          </w:p>
        </w:tc>
        <w:tc>
          <w:tcPr>
            <w:tcW w:w="2694" w:type="dxa"/>
            <w:vAlign w:val="center"/>
          </w:tcPr>
          <w:p>
            <w:pPr>
              <w:snapToGrid w:val="0"/>
              <w:spacing w:line="320" w:lineRule="atLeast"/>
              <w:jc w:val="center"/>
              <w:rPr>
                <w:rFonts w:ascii="宋体" w:hAnsi="宋体" w:eastAsia="宋体" w:cs="宋体"/>
                <w:sz w:val="21"/>
                <w:szCs w:val="21"/>
              </w:rPr>
            </w:pPr>
          </w:p>
        </w:tc>
        <w:tc>
          <w:tcPr>
            <w:tcW w:w="1559" w:type="dxa"/>
            <w:vAlign w:val="center"/>
          </w:tcPr>
          <w:p>
            <w:pPr>
              <w:snapToGrid w:val="0"/>
              <w:spacing w:line="320" w:lineRule="atLeast"/>
              <w:jc w:val="center"/>
              <w:rPr>
                <w:rFonts w:ascii="宋体" w:hAnsi="宋体" w:eastAsia="宋体" w:cs="宋体"/>
                <w:sz w:val="21"/>
                <w:szCs w:val="21"/>
              </w:rPr>
            </w:pPr>
          </w:p>
        </w:tc>
        <w:tc>
          <w:tcPr>
            <w:tcW w:w="1446" w:type="dxa"/>
            <w:vAlign w:val="center"/>
          </w:tcPr>
          <w:p>
            <w:pPr>
              <w:snapToGrid w:val="0"/>
              <w:spacing w:line="320" w:lineRule="atLeast"/>
              <w:jc w:val="center"/>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4</w:t>
            </w:r>
          </w:p>
        </w:tc>
        <w:tc>
          <w:tcPr>
            <w:tcW w:w="2268" w:type="dxa"/>
            <w:vAlign w:val="center"/>
          </w:tcPr>
          <w:p>
            <w:pPr>
              <w:snapToGrid w:val="0"/>
              <w:spacing w:line="320" w:lineRule="atLeast"/>
              <w:jc w:val="center"/>
              <w:rPr>
                <w:rFonts w:ascii="宋体" w:hAnsi="宋体" w:eastAsia="宋体" w:cs="宋体"/>
                <w:sz w:val="21"/>
                <w:szCs w:val="21"/>
              </w:rPr>
            </w:pPr>
          </w:p>
        </w:tc>
        <w:tc>
          <w:tcPr>
            <w:tcW w:w="2694" w:type="dxa"/>
            <w:vAlign w:val="center"/>
          </w:tcPr>
          <w:p>
            <w:pPr>
              <w:snapToGrid w:val="0"/>
              <w:spacing w:line="320" w:lineRule="atLeast"/>
              <w:jc w:val="center"/>
              <w:rPr>
                <w:rFonts w:ascii="宋体" w:hAnsi="宋体" w:eastAsia="宋体" w:cs="宋体"/>
                <w:sz w:val="21"/>
                <w:szCs w:val="21"/>
              </w:rPr>
            </w:pPr>
          </w:p>
        </w:tc>
        <w:tc>
          <w:tcPr>
            <w:tcW w:w="1559" w:type="dxa"/>
            <w:vAlign w:val="center"/>
          </w:tcPr>
          <w:p>
            <w:pPr>
              <w:snapToGrid w:val="0"/>
              <w:spacing w:line="320" w:lineRule="atLeast"/>
              <w:jc w:val="center"/>
              <w:rPr>
                <w:rFonts w:ascii="宋体" w:hAnsi="宋体" w:eastAsia="宋体" w:cs="宋体"/>
                <w:sz w:val="21"/>
                <w:szCs w:val="21"/>
              </w:rPr>
            </w:pPr>
          </w:p>
        </w:tc>
        <w:tc>
          <w:tcPr>
            <w:tcW w:w="1446" w:type="dxa"/>
            <w:vAlign w:val="center"/>
          </w:tcPr>
          <w:p>
            <w:pPr>
              <w:snapToGrid w:val="0"/>
              <w:spacing w:line="320" w:lineRule="atLeast"/>
              <w:jc w:val="center"/>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5</w:t>
            </w:r>
          </w:p>
        </w:tc>
        <w:tc>
          <w:tcPr>
            <w:tcW w:w="2268" w:type="dxa"/>
            <w:vAlign w:val="center"/>
          </w:tcPr>
          <w:p>
            <w:pPr>
              <w:snapToGrid w:val="0"/>
              <w:spacing w:line="320" w:lineRule="atLeast"/>
              <w:jc w:val="center"/>
              <w:rPr>
                <w:rFonts w:ascii="宋体" w:hAnsi="宋体" w:eastAsia="宋体" w:cs="宋体"/>
                <w:sz w:val="21"/>
                <w:szCs w:val="21"/>
              </w:rPr>
            </w:pPr>
          </w:p>
        </w:tc>
        <w:tc>
          <w:tcPr>
            <w:tcW w:w="2694" w:type="dxa"/>
            <w:vAlign w:val="center"/>
          </w:tcPr>
          <w:p>
            <w:pPr>
              <w:snapToGrid w:val="0"/>
              <w:spacing w:line="320" w:lineRule="atLeast"/>
              <w:jc w:val="center"/>
              <w:rPr>
                <w:rFonts w:ascii="宋体" w:hAnsi="宋体" w:eastAsia="宋体" w:cs="宋体"/>
                <w:sz w:val="21"/>
                <w:szCs w:val="21"/>
              </w:rPr>
            </w:pPr>
          </w:p>
        </w:tc>
        <w:tc>
          <w:tcPr>
            <w:tcW w:w="1559" w:type="dxa"/>
            <w:vAlign w:val="center"/>
          </w:tcPr>
          <w:p>
            <w:pPr>
              <w:snapToGrid w:val="0"/>
              <w:spacing w:line="320" w:lineRule="atLeast"/>
              <w:jc w:val="center"/>
              <w:rPr>
                <w:rFonts w:ascii="宋体" w:hAnsi="宋体" w:eastAsia="宋体" w:cs="宋体"/>
                <w:sz w:val="21"/>
                <w:szCs w:val="21"/>
              </w:rPr>
            </w:pPr>
          </w:p>
        </w:tc>
        <w:tc>
          <w:tcPr>
            <w:tcW w:w="1446" w:type="dxa"/>
            <w:vAlign w:val="center"/>
          </w:tcPr>
          <w:p>
            <w:pPr>
              <w:snapToGrid w:val="0"/>
              <w:spacing w:line="320" w:lineRule="atLeast"/>
              <w:jc w:val="center"/>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964"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6</w:t>
            </w:r>
          </w:p>
        </w:tc>
        <w:tc>
          <w:tcPr>
            <w:tcW w:w="2268" w:type="dxa"/>
            <w:vAlign w:val="center"/>
          </w:tcPr>
          <w:p>
            <w:pPr>
              <w:snapToGrid w:val="0"/>
              <w:spacing w:line="320" w:lineRule="atLeast"/>
              <w:jc w:val="center"/>
              <w:rPr>
                <w:rFonts w:ascii="宋体" w:hAnsi="宋体" w:eastAsia="宋体" w:cs="宋体"/>
                <w:sz w:val="21"/>
                <w:szCs w:val="21"/>
              </w:rPr>
            </w:pPr>
          </w:p>
        </w:tc>
        <w:tc>
          <w:tcPr>
            <w:tcW w:w="2694" w:type="dxa"/>
            <w:vAlign w:val="center"/>
          </w:tcPr>
          <w:p>
            <w:pPr>
              <w:snapToGrid w:val="0"/>
              <w:spacing w:line="320" w:lineRule="atLeast"/>
              <w:jc w:val="center"/>
              <w:rPr>
                <w:rFonts w:ascii="宋体" w:hAnsi="宋体" w:eastAsia="宋体" w:cs="宋体"/>
                <w:sz w:val="21"/>
                <w:szCs w:val="21"/>
              </w:rPr>
            </w:pPr>
          </w:p>
        </w:tc>
        <w:tc>
          <w:tcPr>
            <w:tcW w:w="1559" w:type="dxa"/>
            <w:vAlign w:val="center"/>
          </w:tcPr>
          <w:p>
            <w:pPr>
              <w:snapToGrid w:val="0"/>
              <w:spacing w:line="320" w:lineRule="atLeast"/>
              <w:jc w:val="center"/>
              <w:rPr>
                <w:rFonts w:ascii="宋体" w:hAnsi="宋体" w:eastAsia="宋体" w:cs="宋体"/>
                <w:sz w:val="21"/>
                <w:szCs w:val="21"/>
              </w:rPr>
            </w:pPr>
          </w:p>
        </w:tc>
        <w:tc>
          <w:tcPr>
            <w:tcW w:w="1446" w:type="dxa"/>
            <w:vAlign w:val="center"/>
          </w:tcPr>
          <w:p>
            <w:pPr>
              <w:snapToGrid w:val="0"/>
              <w:spacing w:line="320" w:lineRule="atLeast"/>
              <w:jc w:val="center"/>
              <w:rPr>
                <w:rFonts w:ascii="宋体" w:hAnsi="宋体" w:eastAsia="宋体" w:cs="宋体"/>
                <w:sz w:val="21"/>
                <w:szCs w:val="21"/>
              </w:rPr>
            </w:pPr>
          </w:p>
        </w:tc>
      </w:tr>
    </w:tbl>
    <w:p>
      <w:pPr>
        <w:jc w:val="left"/>
        <w:rPr>
          <w:rFonts w:ascii="Times New Roman" w:hAnsi="Times New Roman" w:eastAsia="黑体"/>
          <w:szCs w:val="32"/>
        </w:rPr>
        <w:sectPr>
          <w:footerReference r:id="rId5" w:type="default"/>
          <w:pgSz w:w="11906" w:h="16838"/>
          <w:pgMar w:top="1440" w:right="1800" w:bottom="1440" w:left="1800" w:header="851" w:footer="992" w:gutter="0"/>
          <w:pgNumType w:start="1"/>
          <w:cols w:space="720" w:num="1"/>
          <w:docGrid w:type="lines" w:linePitch="312" w:charSpace="0"/>
        </w:sectPr>
      </w:pPr>
    </w:p>
    <w:tbl>
      <w:tblPr>
        <w:tblStyle w:val="9"/>
        <w:tblW w:w="9567" w:type="dxa"/>
        <w:tblInd w:w="1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
        <w:gridCol w:w="2482"/>
        <w:gridCol w:w="1385"/>
        <w:gridCol w:w="1006"/>
        <w:gridCol w:w="2864"/>
        <w:gridCol w:w="13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rPr>
        <w:tc>
          <w:tcPr>
            <w:tcW w:w="9567" w:type="dxa"/>
            <w:gridSpan w:val="6"/>
            <w:vAlign w:val="center"/>
          </w:tcPr>
          <w:p>
            <w:pPr>
              <w:widowControl/>
              <w:jc w:val="left"/>
              <w:rPr>
                <w:rFonts w:ascii="Times New Roman" w:hAnsi="Times New Roman"/>
                <w:b/>
                <w:u w:val="single"/>
              </w:rPr>
            </w:pPr>
            <w:r>
              <w:rPr>
                <w:rFonts w:hint="eastAsia" w:ascii="黑体" w:hAnsi="黑体" w:eastAsia="黑体"/>
                <w:sz w:val="24"/>
                <w:szCs w:val="24"/>
              </w:rPr>
              <w:t>4.以第一作者发表的代表性学术期刊论文（近5年</w:t>
            </w:r>
            <w:r>
              <w:rPr>
                <w:rFonts w:ascii="黑体" w:hAnsi="黑体" w:eastAsia="黑体"/>
                <w:sz w:val="24"/>
                <w:szCs w:val="24"/>
              </w:rPr>
              <w:t>成果，</w:t>
            </w:r>
            <w:r>
              <w:rPr>
                <w:rFonts w:hint="eastAsia" w:ascii="黑体" w:hAnsi="黑体" w:eastAsia="黑体"/>
                <w:sz w:val="24"/>
                <w:szCs w:val="24"/>
              </w:rPr>
              <w:t>不超过10篇）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trPr>
        <w:tc>
          <w:tcPr>
            <w:tcW w:w="442" w:type="dxa"/>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序号</w:t>
            </w:r>
          </w:p>
        </w:tc>
        <w:tc>
          <w:tcPr>
            <w:tcW w:w="2482" w:type="dxa"/>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论文题目</w:t>
            </w:r>
          </w:p>
        </w:tc>
        <w:tc>
          <w:tcPr>
            <w:tcW w:w="1385" w:type="dxa"/>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期刊名称</w:t>
            </w:r>
          </w:p>
        </w:tc>
        <w:tc>
          <w:tcPr>
            <w:tcW w:w="1006" w:type="dxa"/>
            <w:vAlign w:val="center"/>
          </w:tcPr>
          <w:p>
            <w:pPr>
              <w:snapToGrid w:val="0"/>
              <w:spacing w:line="320" w:lineRule="atLeast"/>
              <w:jc w:val="center"/>
              <w:rPr>
                <w:rFonts w:ascii="宋体" w:hAnsi="宋体" w:eastAsia="宋体" w:cs="宋体"/>
                <w:sz w:val="21"/>
                <w:szCs w:val="21"/>
              </w:rPr>
            </w:pPr>
            <w:r>
              <w:rPr>
                <w:rFonts w:ascii="宋体" w:hAnsi="宋体" w:eastAsia="宋体" w:cs="宋体"/>
                <w:sz w:val="21"/>
                <w:szCs w:val="21"/>
              </w:rPr>
              <w:t>发表</w:t>
            </w:r>
            <w:r>
              <w:rPr>
                <w:rFonts w:hint="eastAsia" w:ascii="宋体" w:hAnsi="宋体" w:eastAsia="宋体" w:cs="宋体"/>
                <w:sz w:val="21"/>
                <w:szCs w:val="21"/>
              </w:rPr>
              <w:t>时间</w:t>
            </w:r>
          </w:p>
        </w:tc>
        <w:tc>
          <w:tcPr>
            <w:tcW w:w="2864" w:type="dxa"/>
            <w:vAlign w:val="center"/>
          </w:tcPr>
          <w:p>
            <w:pPr>
              <w:widowControl/>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直接评价</w:t>
            </w:r>
            <w:r>
              <w:rPr>
                <w:rFonts w:ascii="宋体" w:hAnsi="宋体" w:eastAsia="宋体" w:cs="宋体"/>
                <w:sz w:val="21"/>
                <w:szCs w:val="21"/>
              </w:rPr>
              <w:t>与间接评价</w:t>
            </w:r>
            <w:r>
              <w:rPr>
                <w:rFonts w:hint="eastAsia" w:ascii="宋体" w:hAnsi="宋体" w:eastAsia="宋体" w:cs="宋体"/>
                <w:sz w:val="21"/>
                <w:szCs w:val="21"/>
              </w:rPr>
              <w:t>（</w:t>
            </w:r>
            <w:r>
              <w:rPr>
                <w:rFonts w:ascii="宋体" w:hAnsi="宋体" w:eastAsia="宋体" w:cs="宋体"/>
                <w:sz w:val="21"/>
                <w:szCs w:val="21"/>
              </w:rPr>
              <w:t>含他引、转化，其他体现成果创新</w:t>
            </w:r>
            <w:r>
              <w:rPr>
                <w:rFonts w:hint="eastAsia" w:ascii="宋体" w:hAnsi="宋体" w:eastAsia="宋体" w:cs="宋体"/>
                <w:sz w:val="21"/>
                <w:szCs w:val="21"/>
              </w:rPr>
              <w:t>水平</w:t>
            </w:r>
            <w:r>
              <w:rPr>
                <w:rFonts w:ascii="宋体" w:hAnsi="宋体" w:eastAsia="宋体" w:cs="宋体"/>
                <w:sz w:val="21"/>
                <w:szCs w:val="21"/>
              </w:rPr>
              <w:t>和科学价值的第三方评价）</w:t>
            </w:r>
          </w:p>
        </w:tc>
        <w:tc>
          <w:tcPr>
            <w:tcW w:w="1388" w:type="dxa"/>
            <w:shd w:val="clear" w:color="auto" w:fill="auto"/>
            <w:vAlign w:val="center"/>
          </w:tcPr>
          <w:p>
            <w:pPr>
              <w:widowControl/>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河</w:t>
            </w:r>
            <w:r>
              <w:rPr>
                <w:rFonts w:ascii="宋体" w:hAnsi="宋体" w:eastAsia="宋体" w:cs="宋体"/>
                <w:sz w:val="21"/>
                <w:szCs w:val="21"/>
              </w:rPr>
              <w:t>海大学</w:t>
            </w:r>
            <w:r>
              <w:rPr>
                <w:rFonts w:hint="eastAsia" w:ascii="宋体" w:hAnsi="宋体" w:eastAsia="宋体" w:cs="宋体"/>
                <w:sz w:val="21"/>
                <w:szCs w:val="21"/>
              </w:rPr>
              <w:t>高质量论文分类</w:t>
            </w:r>
            <w:r>
              <w:rPr>
                <w:rFonts w:ascii="宋体" w:hAnsi="宋体" w:eastAsia="宋体" w:cs="宋体"/>
                <w:sz w:val="21"/>
                <w:szCs w:val="21"/>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7" w:hRule="exact"/>
        </w:trPr>
        <w:tc>
          <w:tcPr>
            <w:tcW w:w="442"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1</w:t>
            </w:r>
          </w:p>
        </w:tc>
        <w:tc>
          <w:tcPr>
            <w:tcW w:w="2482" w:type="dxa"/>
            <w:vAlign w:val="center"/>
          </w:tcPr>
          <w:p>
            <w:pPr>
              <w:snapToGrid w:val="0"/>
              <w:spacing w:line="320" w:lineRule="atLeast"/>
              <w:jc w:val="center"/>
              <w:rPr>
                <w:rFonts w:hint="default" w:ascii="Times New Roman" w:hAnsi="Times New Roman" w:eastAsia="宋体" w:cs="Times New Roman"/>
                <w:color w:val="auto"/>
                <w:sz w:val="8"/>
                <w:szCs w:val="8"/>
              </w:rPr>
            </w:pPr>
            <w:r>
              <w:rPr>
                <w:rFonts w:hint="default" w:ascii="Times New Roman" w:hAnsi="Times New Roman" w:eastAsia="Helvetica" w:cs="Times New Roman"/>
                <w:i w:val="0"/>
                <w:iCs w:val="0"/>
                <w:caps w:val="0"/>
                <w:color w:val="auto"/>
                <w:spacing w:val="0"/>
                <w:sz w:val="13"/>
                <w:szCs w:val="13"/>
                <w:shd w:val="clear" w:fill="FFFFFF"/>
              </w:rPr>
              <w:t>Contour restoration of text components for recognition in video/scene images</w:t>
            </w:r>
          </w:p>
        </w:tc>
        <w:tc>
          <w:tcPr>
            <w:tcW w:w="1385"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sz w:val="13"/>
                <w:szCs w:val="13"/>
                <w:shd w:val="clear" w:fill="FFFFFF"/>
              </w:rPr>
            </w:pPr>
            <w:r>
              <w:rPr>
                <w:rFonts w:hint="default" w:ascii="Times New Roman" w:hAnsi="Times New Roman" w:eastAsia="Helvetica" w:cs="Times New Roman"/>
                <w:i w:val="0"/>
                <w:iCs w:val="0"/>
                <w:caps w:val="0"/>
                <w:color w:val="auto"/>
                <w:spacing w:val="0"/>
                <w:sz w:val="13"/>
                <w:szCs w:val="13"/>
                <w:shd w:val="clear" w:fill="FFFFFF"/>
              </w:rPr>
              <w:t>IEEE Transactions on Image Processing</w:t>
            </w:r>
          </w:p>
        </w:tc>
        <w:tc>
          <w:tcPr>
            <w:tcW w:w="1006"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2016</w:t>
            </w:r>
          </w:p>
        </w:tc>
        <w:tc>
          <w:tcPr>
            <w:tcW w:w="2864" w:type="dxa"/>
            <w:vAlign w:val="center"/>
          </w:tcPr>
          <w:p>
            <w:pPr>
              <w:jc w:val="center"/>
              <w:rPr>
                <w:rFonts w:ascii="楷体" w:hAnsi="楷体" w:eastAsia="楷体"/>
                <w:sz w:val="24"/>
                <w:szCs w:val="24"/>
              </w:rPr>
            </w:pPr>
            <w:r>
              <w:rPr>
                <w:rFonts w:hint="eastAsia" w:ascii="Times New Roman" w:hAnsi="Times New Roman" w:eastAsia="楷体" w:cs="Times New Roman"/>
                <w:sz w:val="18"/>
                <w:szCs w:val="18"/>
                <w:lang w:val="en-US" w:eastAsia="zh-CN"/>
              </w:rPr>
              <w:t>他引12次，荷兰代尔夫特理工大学的Elmar Eisemann教授在CCF-C期刊CG中评价形成了强大的、非线性的、可用于交互或实时运算的模型编辑算法</w:t>
            </w:r>
          </w:p>
        </w:tc>
        <w:tc>
          <w:tcPr>
            <w:tcW w:w="1388" w:type="dxa"/>
            <w:shd w:val="clear" w:color="auto" w:fill="auto"/>
            <w:vAlign w:val="center"/>
          </w:tcPr>
          <w:p>
            <w:pPr>
              <w:widowControl/>
              <w:jc w:val="center"/>
              <w:rPr>
                <w:rFonts w:hint="default" w:ascii="Times New Roman" w:hAnsi="Times New Roman" w:eastAsia="楷体" w:cs="Times New Roman"/>
                <w:sz w:val="24"/>
                <w:szCs w:val="24"/>
                <w:lang w:val="en-US" w:eastAsia="zh-CN"/>
              </w:rPr>
            </w:pPr>
            <w:r>
              <w:rPr>
                <w:rFonts w:hint="default" w:ascii="Times New Roman" w:hAnsi="Times New Roman" w:eastAsia="楷体" w:cs="Times New Roman"/>
                <w:sz w:val="24"/>
                <w:szCs w:val="24"/>
                <w:lang w:val="en-US" w:eastAsia="zh-CN"/>
              </w:rPr>
              <w:t>A（CCF-A）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7" w:hRule="exact"/>
        </w:trPr>
        <w:tc>
          <w:tcPr>
            <w:tcW w:w="442"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2</w:t>
            </w:r>
          </w:p>
        </w:tc>
        <w:tc>
          <w:tcPr>
            <w:tcW w:w="2482" w:type="dxa"/>
            <w:vAlign w:val="center"/>
          </w:tcPr>
          <w:p>
            <w:pPr>
              <w:snapToGrid w:val="0"/>
              <w:spacing w:line="320" w:lineRule="atLeast"/>
              <w:jc w:val="center"/>
              <w:rPr>
                <w:rFonts w:hint="default" w:ascii="Times New Roman" w:hAnsi="Times New Roman" w:eastAsia="宋体" w:cs="Times New Roman"/>
                <w:color w:val="auto"/>
                <w:sz w:val="8"/>
                <w:szCs w:val="8"/>
              </w:rPr>
            </w:pPr>
            <w:r>
              <w:rPr>
                <w:rFonts w:hint="default" w:ascii="Times New Roman" w:hAnsi="Times New Roman" w:eastAsia="Helvetica" w:cs="Times New Roman"/>
                <w:i w:val="0"/>
                <w:iCs w:val="0"/>
                <w:caps w:val="0"/>
                <w:color w:val="auto"/>
                <w:spacing w:val="0"/>
                <w:sz w:val="13"/>
                <w:szCs w:val="13"/>
                <w:shd w:val="clear" w:fill="FFFFFF"/>
              </w:rPr>
              <w:t>FreeScup: a novel platform for assisting sculpture pose design</w:t>
            </w:r>
          </w:p>
        </w:tc>
        <w:tc>
          <w:tcPr>
            <w:tcW w:w="1385"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sz w:val="13"/>
                <w:szCs w:val="13"/>
                <w:shd w:val="clear" w:fill="FFFFFF"/>
              </w:rPr>
            </w:pPr>
            <w:r>
              <w:rPr>
                <w:rFonts w:hint="default" w:ascii="Times New Roman" w:hAnsi="Times New Roman" w:eastAsia="Helvetica" w:cs="Times New Roman"/>
                <w:i w:val="0"/>
                <w:iCs w:val="0"/>
                <w:caps w:val="0"/>
                <w:color w:val="auto"/>
                <w:spacing w:val="0"/>
                <w:sz w:val="13"/>
                <w:szCs w:val="13"/>
                <w:shd w:val="clear" w:fill="FFFFFF"/>
              </w:rPr>
              <w:t>IEEE Transactions on Multimedia</w:t>
            </w:r>
          </w:p>
        </w:tc>
        <w:tc>
          <w:tcPr>
            <w:tcW w:w="1006"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2017</w:t>
            </w:r>
          </w:p>
        </w:tc>
        <w:tc>
          <w:tcPr>
            <w:tcW w:w="2864" w:type="dxa"/>
            <w:vAlign w:val="center"/>
          </w:tcPr>
          <w:p>
            <w:pPr>
              <w:jc w:val="center"/>
              <w:rPr>
                <w:rFonts w:hint="default" w:ascii="楷体" w:hAnsi="楷体" w:eastAsia="楷体"/>
                <w:sz w:val="24"/>
                <w:szCs w:val="24"/>
                <w:lang w:val="en-US" w:eastAsia="zh-CN"/>
              </w:rPr>
            </w:pPr>
            <w:r>
              <w:rPr>
                <w:rFonts w:hint="default" w:ascii="Times New Roman" w:hAnsi="Times New Roman" w:eastAsia="楷体" w:cs="Times New Roman"/>
                <w:sz w:val="18"/>
                <w:szCs w:val="18"/>
                <w:lang w:val="en-US" w:eastAsia="zh-CN"/>
              </w:rPr>
              <w:t>IEEE Fellow Paolo Montuschi</w:t>
            </w:r>
            <w:r>
              <w:rPr>
                <w:rFonts w:hint="eastAsia" w:ascii="Times New Roman" w:hAnsi="Times New Roman" w:eastAsia="楷体" w:cs="Times New Roman"/>
                <w:sz w:val="18"/>
                <w:szCs w:val="18"/>
                <w:lang w:val="en-US" w:eastAsia="zh-CN"/>
              </w:rPr>
              <w:t>在CCF-A期刊IEEE TVCG中</w:t>
            </w:r>
            <w:r>
              <w:rPr>
                <w:rFonts w:hint="default" w:ascii="Times New Roman" w:hAnsi="Times New Roman" w:eastAsia="楷体" w:cs="Times New Roman"/>
                <w:sz w:val="18"/>
                <w:szCs w:val="18"/>
                <w:lang w:val="en-US" w:eastAsia="zh-CN"/>
              </w:rPr>
              <w:t>评价让雕塑编辑技术不再需要专业的编辑软件知识</w:t>
            </w:r>
          </w:p>
        </w:tc>
        <w:tc>
          <w:tcPr>
            <w:tcW w:w="1388" w:type="dxa"/>
            <w:shd w:val="clear" w:color="auto" w:fill="auto"/>
            <w:vAlign w:val="center"/>
          </w:tcPr>
          <w:p>
            <w:pPr>
              <w:widowControl/>
              <w:jc w:val="center"/>
              <w:rPr>
                <w:rFonts w:hint="default" w:ascii="Times New Roman" w:hAnsi="Times New Roman" w:eastAsia="楷体" w:cs="Times New Roman"/>
                <w:sz w:val="24"/>
                <w:szCs w:val="24"/>
              </w:rPr>
            </w:pPr>
            <w:r>
              <w:rPr>
                <w:rFonts w:hint="default" w:ascii="Times New Roman" w:hAnsi="Times New Roman" w:eastAsia="楷体" w:cs="Times New Roman"/>
                <w:sz w:val="24"/>
                <w:szCs w:val="24"/>
                <w:lang w:val="en-US" w:eastAsia="zh-CN"/>
              </w:rPr>
              <w:t>A（CCF-B）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7" w:hRule="exact"/>
        </w:trPr>
        <w:tc>
          <w:tcPr>
            <w:tcW w:w="442"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3</w:t>
            </w:r>
          </w:p>
        </w:tc>
        <w:tc>
          <w:tcPr>
            <w:tcW w:w="2482"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kern w:val="2"/>
                <w:sz w:val="13"/>
                <w:szCs w:val="13"/>
                <w:shd w:val="clear" w:fill="FFFFFF"/>
                <w:lang w:val="en-US" w:eastAsia="zh-CN" w:bidi="ar-SA"/>
              </w:rPr>
            </w:pPr>
            <w:r>
              <w:rPr>
                <w:rFonts w:hint="default" w:ascii="Times New Roman" w:hAnsi="Times New Roman" w:eastAsia="Helvetica" w:cs="Times New Roman"/>
                <w:i w:val="0"/>
                <w:iCs w:val="0"/>
                <w:caps w:val="0"/>
                <w:color w:val="auto"/>
                <w:spacing w:val="0"/>
                <w:sz w:val="13"/>
                <w:szCs w:val="13"/>
                <w:shd w:val="clear" w:fill="FFFFFF"/>
              </w:rPr>
              <w:fldChar w:fldCharType="begin"/>
            </w:r>
            <w:r>
              <w:rPr>
                <w:rFonts w:hint="default" w:ascii="Times New Roman" w:hAnsi="Times New Roman" w:eastAsia="Helvetica" w:cs="Times New Roman"/>
                <w:i w:val="0"/>
                <w:iCs w:val="0"/>
                <w:caps w:val="0"/>
                <w:color w:val="auto"/>
                <w:spacing w:val="0"/>
                <w:sz w:val="13"/>
                <w:szCs w:val="13"/>
                <w:shd w:val="clear" w:fill="FFFFFF"/>
              </w:rPr>
              <w:instrText xml:space="preserve"> HYPERLINK "https://xs2.dailyheadlines.cc/citations?view_op=view_citation&amp;hl=zh-CN&amp;user=bmnQSz8AAAAJ&amp;citation_for_view=bmnQSz8AAAAJ:Zph67rFs4hoC" </w:instrText>
            </w:r>
            <w:r>
              <w:rPr>
                <w:rFonts w:hint="default" w:ascii="Times New Roman" w:hAnsi="Times New Roman" w:eastAsia="Helvetica" w:cs="Times New Roman"/>
                <w:i w:val="0"/>
                <w:iCs w:val="0"/>
                <w:caps w:val="0"/>
                <w:color w:val="auto"/>
                <w:spacing w:val="0"/>
                <w:sz w:val="13"/>
                <w:szCs w:val="13"/>
                <w:shd w:val="clear" w:fill="FFFFFF"/>
              </w:rPr>
              <w:fldChar w:fldCharType="separate"/>
            </w:r>
            <w:r>
              <w:rPr>
                <w:rFonts w:hint="default" w:ascii="Times New Roman" w:hAnsi="Times New Roman" w:eastAsia="Helvetica" w:cs="Times New Roman"/>
                <w:i w:val="0"/>
                <w:iCs w:val="0"/>
                <w:caps w:val="0"/>
                <w:color w:val="auto"/>
                <w:spacing w:val="0"/>
                <w:sz w:val="13"/>
                <w:szCs w:val="13"/>
                <w:shd w:val="clear" w:fill="FFFFFF"/>
              </w:rPr>
              <w:t>CASR: a context-aware residual network for single-image super-resolution</w:t>
            </w:r>
            <w:r>
              <w:rPr>
                <w:rFonts w:hint="default" w:ascii="Times New Roman" w:hAnsi="Times New Roman" w:eastAsia="Helvetica" w:cs="Times New Roman"/>
                <w:i w:val="0"/>
                <w:iCs w:val="0"/>
                <w:caps w:val="0"/>
                <w:color w:val="auto"/>
                <w:spacing w:val="0"/>
                <w:sz w:val="13"/>
                <w:szCs w:val="13"/>
                <w:shd w:val="clear" w:fill="FFFFFF"/>
              </w:rPr>
              <w:fldChar w:fldCharType="end"/>
            </w:r>
          </w:p>
        </w:tc>
        <w:tc>
          <w:tcPr>
            <w:tcW w:w="1385" w:type="dxa"/>
            <w:vAlign w:val="center"/>
          </w:tcPr>
          <w:p>
            <w:pPr>
              <w:snapToGrid w:val="0"/>
              <w:spacing w:line="320" w:lineRule="atLeast"/>
              <w:jc w:val="center"/>
              <w:rPr>
                <w:rFonts w:hint="default" w:ascii="Times New Roman" w:hAnsi="Times New Roman" w:eastAsia="宋体" w:cs="Times New Roman"/>
                <w:color w:val="auto"/>
                <w:sz w:val="8"/>
                <w:szCs w:val="8"/>
              </w:rPr>
            </w:pPr>
            <w:r>
              <w:rPr>
                <w:rFonts w:hint="default" w:ascii="Times New Roman" w:hAnsi="Times New Roman" w:eastAsia="Helvetica" w:cs="Times New Roman"/>
                <w:i w:val="0"/>
                <w:iCs w:val="0"/>
                <w:caps w:val="0"/>
                <w:color w:val="auto"/>
                <w:spacing w:val="0"/>
                <w:sz w:val="13"/>
                <w:szCs w:val="13"/>
                <w:shd w:val="clear" w:fill="FFFFFF"/>
              </w:rPr>
              <w:t>Neural Computing and Applications</w:t>
            </w:r>
          </w:p>
        </w:tc>
        <w:tc>
          <w:tcPr>
            <w:tcW w:w="1006"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2020</w:t>
            </w:r>
          </w:p>
        </w:tc>
        <w:tc>
          <w:tcPr>
            <w:tcW w:w="2864" w:type="dxa"/>
            <w:vAlign w:val="center"/>
          </w:tcPr>
          <w:p>
            <w:pPr>
              <w:jc w:val="center"/>
              <w:rPr>
                <w:rFonts w:hint="default" w:ascii="楷体" w:hAnsi="楷体" w:eastAsia="楷体"/>
                <w:sz w:val="24"/>
                <w:szCs w:val="24"/>
                <w:lang w:val="en-US" w:eastAsia="zh-CN"/>
              </w:rPr>
            </w:pPr>
            <w:r>
              <w:rPr>
                <w:rFonts w:hint="eastAsia" w:ascii="Times New Roman" w:hAnsi="Times New Roman" w:eastAsia="楷体" w:cs="Times New Roman"/>
                <w:sz w:val="18"/>
                <w:szCs w:val="18"/>
                <w:lang w:val="en-US" w:eastAsia="zh-CN"/>
              </w:rPr>
              <w:t>新西兰梅西大学Ruili Wang教授在CCF-B类期刊ACM TOMM评价在视频摘要领域取得了重大的进展；印度理工学院Anupam Ghosh教授以本文为基础构建了基于X光的新冠智能检测技术</w:t>
            </w:r>
          </w:p>
        </w:tc>
        <w:tc>
          <w:tcPr>
            <w:tcW w:w="1388" w:type="dxa"/>
            <w:shd w:val="clear" w:color="auto" w:fill="auto"/>
            <w:vAlign w:val="center"/>
          </w:tcPr>
          <w:p>
            <w:pPr>
              <w:widowControl/>
              <w:jc w:val="center"/>
              <w:rPr>
                <w:rFonts w:hint="default" w:ascii="Times New Roman" w:hAnsi="Times New Roman" w:eastAsia="楷体" w:cs="Times New Roman"/>
                <w:sz w:val="24"/>
                <w:szCs w:val="24"/>
              </w:rPr>
            </w:pPr>
            <w:r>
              <w:rPr>
                <w:rFonts w:hint="default" w:ascii="Times New Roman" w:hAnsi="Times New Roman" w:eastAsia="楷体" w:cs="Times New Roman"/>
                <w:sz w:val="24"/>
                <w:szCs w:val="24"/>
                <w:lang w:val="en-US" w:eastAsia="zh-CN"/>
              </w:rPr>
              <w:t>A（CCF-C）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exact"/>
        </w:trPr>
        <w:tc>
          <w:tcPr>
            <w:tcW w:w="442"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4</w:t>
            </w:r>
          </w:p>
        </w:tc>
        <w:tc>
          <w:tcPr>
            <w:tcW w:w="2482"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kern w:val="2"/>
                <w:sz w:val="13"/>
                <w:szCs w:val="13"/>
                <w:shd w:val="clear" w:fill="FFFFFF"/>
                <w:lang w:val="en-US" w:eastAsia="zh-CN" w:bidi="ar-SA"/>
              </w:rPr>
            </w:pPr>
            <w:r>
              <w:rPr>
                <w:rFonts w:hint="default" w:ascii="Times New Roman" w:hAnsi="Times New Roman" w:eastAsia="Helvetica" w:cs="Times New Roman"/>
                <w:i w:val="0"/>
                <w:iCs w:val="0"/>
                <w:caps w:val="0"/>
                <w:color w:val="auto"/>
                <w:spacing w:val="0"/>
                <w:sz w:val="13"/>
                <w:szCs w:val="13"/>
                <w:shd w:val="clear" w:fill="FFFFFF"/>
              </w:rPr>
              <w:fldChar w:fldCharType="begin"/>
            </w:r>
            <w:r>
              <w:rPr>
                <w:rFonts w:hint="default" w:ascii="Times New Roman" w:hAnsi="Times New Roman" w:eastAsia="Helvetica" w:cs="Times New Roman"/>
                <w:i w:val="0"/>
                <w:iCs w:val="0"/>
                <w:caps w:val="0"/>
                <w:color w:val="auto"/>
                <w:spacing w:val="0"/>
                <w:sz w:val="13"/>
                <w:szCs w:val="13"/>
                <w:shd w:val="clear" w:fill="FFFFFF"/>
              </w:rPr>
              <w:instrText xml:space="preserve"> HYPERLINK "https://xs2.dailyheadlines.cc/citations?view_op=view_citation&amp;hl=zh-CN&amp;user=bmnQSz8AAAAJ&amp;cstart=20&amp;pagesize=80&amp;citation_for_view=bmnQSz8AAAAJ:_Qo2XoVZTnwC" </w:instrText>
            </w:r>
            <w:r>
              <w:rPr>
                <w:rFonts w:hint="default" w:ascii="Times New Roman" w:hAnsi="Times New Roman" w:eastAsia="Helvetica" w:cs="Times New Roman"/>
                <w:i w:val="0"/>
                <w:iCs w:val="0"/>
                <w:caps w:val="0"/>
                <w:color w:val="auto"/>
                <w:spacing w:val="0"/>
                <w:sz w:val="13"/>
                <w:szCs w:val="13"/>
                <w:shd w:val="clear" w:fill="FFFFFF"/>
              </w:rPr>
              <w:fldChar w:fldCharType="separate"/>
            </w:r>
            <w:r>
              <w:rPr>
                <w:rFonts w:hint="default" w:ascii="Times New Roman" w:hAnsi="Times New Roman" w:eastAsia="Helvetica" w:cs="Times New Roman"/>
                <w:i w:val="0"/>
                <w:iCs w:val="0"/>
                <w:caps w:val="0"/>
                <w:color w:val="auto"/>
                <w:spacing w:val="0"/>
                <w:sz w:val="13"/>
                <w:szCs w:val="13"/>
                <w:shd w:val="clear" w:fill="FFFFFF"/>
              </w:rPr>
              <w:t>Multiple attention encoded cascade R-CNN for scene text detection</w:t>
            </w:r>
            <w:r>
              <w:rPr>
                <w:rFonts w:hint="default" w:ascii="Times New Roman" w:hAnsi="Times New Roman" w:eastAsia="Helvetica" w:cs="Times New Roman"/>
                <w:i w:val="0"/>
                <w:iCs w:val="0"/>
                <w:caps w:val="0"/>
                <w:color w:val="auto"/>
                <w:spacing w:val="0"/>
                <w:sz w:val="13"/>
                <w:szCs w:val="13"/>
                <w:shd w:val="clear" w:fill="FFFFFF"/>
              </w:rPr>
              <w:fldChar w:fldCharType="end"/>
            </w:r>
          </w:p>
        </w:tc>
        <w:tc>
          <w:tcPr>
            <w:tcW w:w="1385"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sz w:val="13"/>
                <w:szCs w:val="13"/>
                <w:shd w:val="clear" w:fill="FFFFFF"/>
              </w:rPr>
            </w:pPr>
            <w:r>
              <w:rPr>
                <w:rFonts w:hint="default" w:ascii="Times New Roman" w:hAnsi="Times New Roman" w:eastAsia="Helvetica" w:cs="Times New Roman"/>
                <w:i w:val="0"/>
                <w:iCs w:val="0"/>
                <w:caps w:val="0"/>
                <w:color w:val="auto"/>
                <w:spacing w:val="0"/>
                <w:sz w:val="13"/>
                <w:szCs w:val="13"/>
                <w:shd w:val="clear" w:fill="FFFFFF"/>
              </w:rPr>
              <w:t>Journal of Visual Communication and Image Representation</w:t>
            </w:r>
          </w:p>
        </w:tc>
        <w:tc>
          <w:tcPr>
            <w:tcW w:w="1006"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2021</w:t>
            </w:r>
          </w:p>
        </w:tc>
        <w:tc>
          <w:tcPr>
            <w:tcW w:w="2864" w:type="dxa"/>
            <w:vAlign w:val="center"/>
          </w:tcPr>
          <w:p>
            <w:pPr>
              <w:jc w:val="center"/>
              <w:rPr>
                <w:rFonts w:hint="default" w:ascii="楷体" w:hAnsi="楷体" w:eastAsia="楷体"/>
                <w:sz w:val="24"/>
                <w:szCs w:val="24"/>
                <w:lang w:val="en-US" w:eastAsia="zh-CN"/>
              </w:rPr>
            </w:pPr>
            <w:r>
              <w:rPr>
                <w:rFonts w:hint="eastAsia" w:ascii="Times New Roman" w:hAnsi="Times New Roman" w:eastAsia="楷体" w:cs="Times New Roman"/>
                <w:sz w:val="18"/>
                <w:szCs w:val="18"/>
                <w:lang w:val="en-US" w:eastAsia="zh-CN"/>
              </w:rPr>
              <w:t>审稿人认为通过构造多层次注意力结构对于文字检测问题是可行的路径</w:t>
            </w:r>
          </w:p>
        </w:tc>
        <w:tc>
          <w:tcPr>
            <w:tcW w:w="1388" w:type="dxa"/>
            <w:shd w:val="clear" w:color="auto" w:fill="auto"/>
            <w:vAlign w:val="center"/>
          </w:tcPr>
          <w:p>
            <w:pPr>
              <w:widowControl/>
              <w:jc w:val="center"/>
              <w:rPr>
                <w:rFonts w:hint="default" w:ascii="Times New Roman" w:hAnsi="Times New Roman" w:eastAsia="楷体" w:cs="Times New Roman"/>
                <w:sz w:val="24"/>
                <w:szCs w:val="24"/>
              </w:rPr>
            </w:pPr>
            <w:r>
              <w:rPr>
                <w:rFonts w:hint="default" w:ascii="Times New Roman" w:hAnsi="Times New Roman" w:eastAsia="楷体" w:cs="Times New Roman"/>
                <w:sz w:val="24"/>
                <w:szCs w:val="24"/>
                <w:lang w:val="en-US" w:eastAsia="zh-CN"/>
              </w:rPr>
              <w:t>A（CCF-C）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7" w:hRule="exact"/>
        </w:trPr>
        <w:tc>
          <w:tcPr>
            <w:tcW w:w="442"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5</w:t>
            </w:r>
          </w:p>
        </w:tc>
        <w:tc>
          <w:tcPr>
            <w:tcW w:w="2482"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kern w:val="2"/>
                <w:sz w:val="13"/>
                <w:szCs w:val="13"/>
                <w:shd w:val="clear" w:fill="FFFFFF"/>
                <w:lang w:val="en-US" w:eastAsia="zh-CN" w:bidi="ar-SA"/>
              </w:rPr>
            </w:pPr>
            <w:r>
              <w:rPr>
                <w:rFonts w:hint="default" w:ascii="Times New Roman" w:hAnsi="Times New Roman" w:eastAsia="Helvetica" w:cs="Times New Roman"/>
                <w:i w:val="0"/>
                <w:iCs w:val="0"/>
                <w:caps w:val="0"/>
                <w:color w:val="auto"/>
                <w:spacing w:val="0"/>
                <w:sz w:val="13"/>
                <w:szCs w:val="13"/>
                <w:shd w:val="clear" w:fill="FFFFFF"/>
              </w:rPr>
              <w:fldChar w:fldCharType="begin"/>
            </w:r>
            <w:r>
              <w:rPr>
                <w:rFonts w:hint="default" w:ascii="Times New Roman" w:hAnsi="Times New Roman" w:eastAsia="Helvetica" w:cs="Times New Roman"/>
                <w:i w:val="0"/>
                <w:iCs w:val="0"/>
                <w:caps w:val="0"/>
                <w:color w:val="auto"/>
                <w:spacing w:val="0"/>
                <w:sz w:val="13"/>
                <w:szCs w:val="13"/>
                <w:shd w:val="clear" w:fill="FFFFFF"/>
              </w:rPr>
              <w:instrText xml:space="preserve"> HYPERLINK "https://xs2.dailyheadlines.cc/citations?view_op=view_citation&amp;hl=zh-CN&amp;user=bmnQSz8AAAAJ&amp;cstart=20&amp;pagesize=80&amp;citation_for_view=bmnQSz8AAAAJ:R3hNpaxXUhUC" </w:instrText>
            </w:r>
            <w:r>
              <w:rPr>
                <w:rFonts w:hint="default" w:ascii="Times New Roman" w:hAnsi="Times New Roman" w:eastAsia="Helvetica" w:cs="Times New Roman"/>
                <w:i w:val="0"/>
                <w:iCs w:val="0"/>
                <w:caps w:val="0"/>
                <w:color w:val="auto"/>
                <w:spacing w:val="0"/>
                <w:sz w:val="13"/>
                <w:szCs w:val="13"/>
                <w:shd w:val="clear" w:fill="FFFFFF"/>
              </w:rPr>
              <w:fldChar w:fldCharType="separate"/>
            </w:r>
            <w:r>
              <w:rPr>
                <w:rFonts w:hint="default" w:ascii="Times New Roman" w:hAnsi="Times New Roman" w:eastAsia="Helvetica" w:cs="Times New Roman"/>
                <w:i w:val="0"/>
                <w:iCs w:val="0"/>
                <w:caps w:val="0"/>
                <w:color w:val="auto"/>
                <w:spacing w:val="0"/>
                <w:sz w:val="13"/>
                <w:szCs w:val="13"/>
                <w:shd w:val="clear" w:fill="FFFFFF"/>
              </w:rPr>
              <w:t>Multi-scale relation reasoning for multi-modal Visual Question Answering</w:t>
            </w:r>
            <w:r>
              <w:rPr>
                <w:rFonts w:hint="default" w:ascii="Times New Roman" w:hAnsi="Times New Roman" w:eastAsia="Helvetica" w:cs="Times New Roman"/>
                <w:i w:val="0"/>
                <w:iCs w:val="0"/>
                <w:caps w:val="0"/>
                <w:color w:val="auto"/>
                <w:spacing w:val="0"/>
                <w:sz w:val="13"/>
                <w:szCs w:val="13"/>
                <w:shd w:val="clear" w:fill="FFFFFF"/>
              </w:rPr>
              <w:fldChar w:fldCharType="end"/>
            </w:r>
          </w:p>
        </w:tc>
        <w:tc>
          <w:tcPr>
            <w:tcW w:w="1385"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sz w:val="13"/>
                <w:szCs w:val="13"/>
                <w:shd w:val="clear" w:fill="FFFFFF"/>
              </w:rPr>
            </w:pPr>
            <w:r>
              <w:rPr>
                <w:rFonts w:hint="default" w:ascii="Times New Roman" w:hAnsi="Times New Roman" w:eastAsia="Helvetica" w:cs="Times New Roman"/>
                <w:i w:val="0"/>
                <w:iCs w:val="0"/>
                <w:caps w:val="0"/>
                <w:color w:val="auto"/>
                <w:spacing w:val="0"/>
                <w:sz w:val="13"/>
                <w:szCs w:val="13"/>
                <w:shd w:val="clear" w:fill="FFFFFF"/>
              </w:rPr>
              <w:t>Signal Processing: Image Communication</w:t>
            </w:r>
          </w:p>
        </w:tc>
        <w:tc>
          <w:tcPr>
            <w:tcW w:w="1006"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2021</w:t>
            </w:r>
          </w:p>
        </w:tc>
        <w:tc>
          <w:tcPr>
            <w:tcW w:w="2864" w:type="dxa"/>
            <w:vAlign w:val="center"/>
          </w:tcPr>
          <w:p>
            <w:pPr>
              <w:jc w:val="center"/>
              <w:rPr>
                <w:rFonts w:hint="default" w:ascii="楷体" w:hAnsi="楷体" w:eastAsia="宋体"/>
                <w:sz w:val="24"/>
                <w:szCs w:val="24"/>
                <w:lang w:val="en-US" w:eastAsia="zh-CN"/>
              </w:rPr>
            </w:pPr>
            <w:r>
              <w:rPr>
                <w:rFonts w:hint="eastAsia" w:ascii="Times New Roman" w:hAnsi="Times New Roman" w:eastAsia="楷体" w:cs="Times New Roman"/>
                <w:sz w:val="18"/>
                <w:szCs w:val="18"/>
                <w:lang w:val="en-US" w:eastAsia="zh-CN"/>
              </w:rPr>
              <w:t>CCF-C期刊上发表的</w:t>
            </w:r>
            <w:r>
              <w:rPr>
                <w:rFonts w:hint="default" w:ascii="Times New Roman" w:hAnsi="Times New Roman" w:eastAsia="楷体" w:cs="Times New Roman"/>
                <w:sz w:val="18"/>
                <w:szCs w:val="18"/>
                <w:lang w:val="en-US" w:eastAsia="zh-CN"/>
              </w:rPr>
              <w:t>Signal Processing: Image Communication</w:t>
            </w:r>
            <w:r>
              <w:rPr>
                <w:rFonts w:hint="eastAsia" w:ascii="Times New Roman" w:hAnsi="Times New Roman" w:eastAsia="楷体" w:cs="Times New Roman"/>
                <w:sz w:val="18"/>
                <w:szCs w:val="18"/>
                <w:lang w:val="en-US" w:eastAsia="zh-CN"/>
              </w:rPr>
              <w:t>上发表论文认为在准确性与实时性能不断取得了突破</w:t>
            </w:r>
          </w:p>
        </w:tc>
        <w:tc>
          <w:tcPr>
            <w:tcW w:w="1388" w:type="dxa"/>
            <w:shd w:val="clear" w:color="auto" w:fill="auto"/>
            <w:vAlign w:val="center"/>
          </w:tcPr>
          <w:p>
            <w:pPr>
              <w:widowControl/>
              <w:jc w:val="center"/>
              <w:rPr>
                <w:rFonts w:hint="default" w:ascii="Times New Roman" w:hAnsi="Times New Roman" w:eastAsia="楷体" w:cs="Times New Roman"/>
                <w:sz w:val="24"/>
                <w:szCs w:val="24"/>
              </w:rPr>
            </w:pPr>
            <w:r>
              <w:rPr>
                <w:rFonts w:hint="default" w:ascii="Times New Roman" w:hAnsi="Times New Roman" w:eastAsia="楷体" w:cs="Times New Roman"/>
                <w:sz w:val="24"/>
                <w:szCs w:val="24"/>
                <w:lang w:val="en-US" w:eastAsia="zh-CN"/>
              </w:rPr>
              <w:t>A（CCF-C）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7" w:hRule="exact"/>
        </w:trPr>
        <w:tc>
          <w:tcPr>
            <w:tcW w:w="442"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6</w:t>
            </w:r>
          </w:p>
        </w:tc>
        <w:tc>
          <w:tcPr>
            <w:tcW w:w="2482"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kern w:val="2"/>
                <w:sz w:val="13"/>
                <w:szCs w:val="13"/>
                <w:shd w:val="clear" w:fill="FFFFFF"/>
                <w:lang w:val="en-US" w:eastAsia="zh-CN" w:bidi="ar-SA"/>
              </w:rPr>
            </w:pPr>
            <w:r>
              <w:rPr>
                <w:rFonts w:hint="default" w:ascii="Times New Roman" w:hAnsi="Times New Roman" w:eastAsia="Helvetica" w:cs="Times New Roman"/>
                <w:i w:val="0"/>
                <w:iCs w:val="0"/>
                <w:caps w:val="0"/>
                <w:color w:val="auto"/>
                <w:spacing w:val="0"/>
                <w:sz w:val="13"/>
                <w:szCs w:val="13"/>
                <w:shd w:val="clear" w:fill="FFFFFF"/>
              </w:rPr>
              <w:t xml:space="preserve">Deep spatiotemporal LSTM network with temporal pattern feature for 3D human </w:t>
            </w:r>
            <w:r>
              <w:rPr>
                <w:rFonts w:hint="default" w:ascii="Times New Roman" w:hAnsi="Times New Roman" w:eastAsia="Helvetica" w:cs="Times New Roman"/>
                <w:i w:val="0"/>
                <w:iCs w:val="0"/>
                <w:caps w:val="0"/>
                <w:color w:val="auto"/>
                <w:spacing w:val="0"/>
                <w:sz w:val="13"/>
                <w:szCs w:val="13"/>
                <w:shd w:val="clear" w:fill="FFFFFF"/>
              </w:rPr>
              <w:fldChar w:fldCharType="begin"/>
            </w:r>
            <w:r>
              <w:rPr>
                <w:rFonts w:hint="default" w:ascii="Times New Roman" w:hAnsi="Times New Roman" w:eastAsia="Helvetica" w:cs="Times New Roman"/>
                <w:i w:val="0"/>
                <w:iCs w:val="0"/>
                <w:caps w:val="0"/>
                <w:color w:val="auto"/>
                <w:spacing w:val="0"/>
                <w:sz w:val="13"/>
                <w:szCs w:val="13"/>
                <w:shd w:val="clear" w:fill="FFFFFF"/>
              </w:rPr>
              <w:instrText xml:space="preserve"> HYPERLINK "https://xs2.dailyheadlines.cc/citations?view_op=view_citation&amp;hl=zh-CN&amp;user=bmnQSz8AAAAJ&amp;citation_for_view=bmnQSz8AAAAJ:9ZlFYXVOiuMC" </w:instrText>
            </w:r>
            <w:r>
              <w:rPr>
                <w:rFonts w:hint="default" w:ascii="Times New Roman" w:hAnsi="Times New Roman" w:eastAsia="Helvetica" w:cs="Times New Roman"/>
                <w:i w:val="0"/>
                <w:iCs w:val="0"/>
                <w:caps w:val="0"/>
                <w:color w:val="auto"/>
                <w:spacing w:val="0"/>
                <w:sz w:val="13"/>
                <w:szCs w:val="13"/>
                <w:shd w:val="clear" w:fill="FFFFFF"/>
              </w:rPr>
              <w:fldChar w:fldCharType="separate"/>
            </w:r>
            <w:r>
              <w:rPr>
                <w:rFonts w:hint="default" w:ascii="Times New Roman" w:hAnsi="Times New Roman" w:eastAsia="Helvetica" w:cs="Times New Roman"/>
                <w:i w:val="0"/>
                <w:iCs w:val="0"/>
                <w:caps w:val="0"/>
                <w:color w:val="auto"/>
                <w:spacing w:val="0"/>
                <w:sz w:val="13"/>
                <w:szCs w:val="13"/>
                <w:shd w:val="clear" w:fill="FFFFFF"/>
              </w:rPr>
              <w:t>action recognition</w:t>
            </w:r>
            <w:r>
              <w:rPr>
                <w:rFonts w:hint="default" w:ascii="Times New Roman" w:hAnsi="Times New Roman" w:eastAsia="Helvetica" w:cs="Times New Roman"/>
                <w:i w:val="0"/>
                <w:iCs w:val="0"/>
                <w:caps w:val="0"/>
                <w:color w:val="auto"/>
                <w:spacing w:val="0"/>
                <w:sz w:val="13"/>
                <w:szCs w:val="13"/>
                <w:shd w:val="clear" w:fill="FFFFFF"/>
              </w:rPr>
              <w:fldChar w:fldCharType="end"/>
            </w:r>
          </w:p>
        </w:tc>
        <w:tc>
          <w:tcPr>
            <w:tcW w:w="1385" w:type="dxa"/>
            <w:vAlign w:val="center"/>
          </w:tcPr>
          <w:p>
            <w:pPr>
              <w:jc w:val="center"/>
              <w:rPr>
                <w:rFonts w:ascii="楷体" w:hAnsi="楷体" w:eastAsia="楷体"/>
                <w:sz w:val="28"/>
                <w:szCs w:val="28"/>
              </w:rPr>
            </w:pPr>
            <w:r>
              <w:rPr>
                <w:rFonts w:hint="eastAsia" w:ascii="Times New Roman" w:hAnsi="Times New Roman" w:eastAsia="Helvetica" w:cs="Times New Roman"/>
                <w:i w:val="0"/>
                <w:iCs w:val="0"/>
                <w:caps w:val="0"/>
                <w:color w:val="auto"/>
                <w:spacing w:val="0"/>
                <w:sz w:val="13"/>
                <w:szCs w:val="13"/>
                <w:shd w:val="clear" w:fill="FFFFFF"/>
              </w:rPr>
              <w:t>Computational</w:t>
            </w:r>
            <w:r>
              <w:rPr>
                <w:rFonts w:hint="eastAsia" w:ascii="楷体" w:hAnsi="楷体" w:eastAsia="楷体"/>
                <w:sz w:val="28"/>
                <w:szCs w:val="28"/>
              </w:rPr>
              <w:t xml:space="preserve"> </w:t>
            </w:r>
            <w:r>
              <w:rPr>
                <w:rFonts w:hint="eastAsia" w:ascii="Times New Roman" w:hAnsi="Times New Roman" w:eastAsia="Helvetica" w:cs="Times New Roman"/>
                <w:i w:val="0"/>
                <w:iCs w:val="0"/>
                <w:caps w:val="0"/>
                <w:color w:val="auto"/>
                <w:spacing w:val="0"/>
                <w:sz w:val="13"/>
                <w:szCs w:val="13"/>
                <w:shd w:val="clear" w:fill="FFFFFF"/>
              </w:rPr>
              <w:t>Intelligence</w:t>
            </w:r>
          </w:p>
        </w:tc>
        <w:tc>
          <w:tcPr>
            <w:tcW w:w="1006"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2019</w:t>
            </w:r>
          </w:p>
        </w:tc>
        <w:tc>
          <w:tcPr>
            <w:tcW w:w="2864" w:type="dxa"/>
            <w:vAlign w:val="center"/>
          </w:tcPr>
          <w:p>
            <w:pPr>
              <w:jc w:val="center"/>
              <w:rPr>
                <w:rFonts w:hint="default" w:ascii="楷体" w:hAnsi="楷体" w:eastAsia="宋体"/>
                <w:sz w:val="24"/>
                <w:szCs w:val="24"/>
                <w:lang w:val="en-US" w:eastAsia="zh-CN"/>
              </w:rPr>
            </w:pPr>
            <w:r>
              <w:rPr>
                <w:rFonts w:hint="eastAsia" w:ascii="Times New Roman" w:hAnsi="Times New Roman" w:eastAsia="楷体" w:cs="Times New Roman"/>
                <w:sz w:val="18"/>
                <w:szCs w:val="18"/>
                <w:lang w:val="en-US" w:eastAsia="zh-CN"/>
              </w:rPr>
              <w:t>M-Tree发明人Pavel Zezula教授评价为一种强大的多模态数据融合算法，相关算法用于支撑流域场景模式库中时序数据处理</w:t>
            </w:r>
          </w:p>
        </w:tc>
        <w:tc>
          <w:tcPr>
            <w:tcW w:w="1388" w:type="dxa"/>
            <w:shd w:val="clear" w:color="auto" w:fill="auto"/>
            <w:vAlign w:val="center"/>
          </w:tcPr>
          <w:p>
            <w:pPr>
              <w:widowControl/>
              <w:jc w:val="center"/>
              <w:rPr>
                <w:rFonts w:hint="default" w:ascii="Times New Roman" w:hAnsi="Times New Roman" w:eastAsia="楷体" w:cs="Times New Roman"/>
                <w:sz w:val="24"/>
                <w:szCs w:val="24"/>
              </w:rPr>
            </w:pPr>
            <w:r>
              <w:rPr>
                <w:rFonts w:hint="default" w:ascii="Times New Roman" w:hAnsi="Times New Roman" w:eastAsia="楷体" w:cs="Times New Roman"/>
                <w:sz w:val="24"/>
                <w:szCs w:val="24"/>
                <w:lang w:val="en-US" w:eastAsia="zh-CN"/>
              </w:rPr>
              <w:t>A（CCF-C）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7" w:hRule="exact"/>
        </w:trPr>
        <w:tc>
          <w:tcPr>
            <w:tcW w:w="442"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7</w:t>
            </w:r>
          </w:p>
        </w:tc>
        <w:tc>
          <w:tcPr>
            <w:tcW w:w="2482"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kern w:val="2"/>
                <w:sz w:val="13"/>
                <w:szCs w:val="13"/>
                <w:shd w:val="clear" w:fill="FFFFFF"/>
                <w:lang w:val="en-US" w:eastAsia="zh-CN" w:bidi="ar-SA"/>
              </w:rPr>
            </w:pPr>
            <w:r>
              <w:rPr>
                <w:rFonts w:hint="default" w:ascii="Times New Roman" w:hAnsi="Times New Roman" w:eastAsia="Helvetica" w:cs="Times New Roman"/>
                <w:i w:val="0"/>
                <w:iCs w:val="0"/>
                <w:caps w:val="0"/>
                <w:color w:val="auto"/>
                <w:spacing w:val="0"/>
                <w:sz w:val="13"/>
                <w:szCs w:val="13"/>
                <w:shd w:val="clear" w:fill="FFFFFF"/>
              </w:rPr>
              <w:t>Network attacks detection methods based on deep learning techniques: a survey</w:t>
            </w:r>
          </w:p>
        </w:tc>
        <w:tc>
          <w:tcPr>
            <w:tcW w:w="1385" w:type="dxa"/>
            <w:vAlign w:val="center"/>
          </w:tcPr>
          <w:p>
            <w:pPr>
              <w:jc w:val="center"/>
              <w:rPr>
                <w:rFonts w:hint="eastAsia" w:ascii="Times New Roman" w:hAnsi="Times New Roman" w:eastAsia="Helvetica" w:cs="Times New Roman"/>
                <w:i w:val="0"/>
                <w:iCs w:val="0"/>
                <w:caps w:val="0"/>
                <w:color w:val="auto"/>
                <w:spacing w:val="0"/>
                <w:sz w:val="13"/>
                <w:szCs w:val="13"/>
                <w:shd w:val="clear" w:fill="FFFFFF"/>
              </w:rPr>
            </w:pPr>
            <w:r>
              <w:rPr>
                <w:rFonts w:hint="eastAsia" w:ascii="Times New Roman" w:hAnsi="Times New Roman" w:eastAsia="Helvetica" w:cs="Times New Roman"/>
                <w:i w:val="0"/>
                <w:iCs w:val="0"/>
                <w:caps w:val="0"/>
                <w:color w:val="auto"/>
                <w:spacing w:val="0"/>
                <w:sz w:val="13"/>
                <w:szCs w:val="13"/>
                <w:shd w:val="clear" w:fill="FFFFFF"/>
              </w:rPr>
              <w:t>Security and Communication Networks</w:t>
            </w:r>
          </w:p>
        </w:tc>
        <w:tc>
          <w:tcPr>
            <w:tcW w:w="1006"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2020</w:t>
            </w:r>
          </w:p>
        </w:tc>
        <w:tc>
          <w:tcPr>
            <w:tcW w:w="2864" w:type="dxa"/>
            <w:vAlign w:val="center"/>
          </w:tcPr>
          <w:p>
            <w:pPr>
              <w:jc w:val="center"/>
              <w:rPr>
                <w:rFonts w:hint="default" w:ascii="楷体" w:hAnsi="楷体" w:eastAsia="楷体"/>
                <w:b/>
                <w:bCs/>
                <w:sz w:val="24"/>
                <w:szCs w:val="24"/>
                <w:lang w:val="en-US"/>
              </w:rPr>
            </w:pPr>
            <w:r>
              <w:rPr>
                <w:rFonts w:hint="eastAsia" w:ascii="Times New Roman" w:hAnsi="Times New Roman" w:eastAsia="楷体" w:cs="Times New Roman"/>
                <w:sz w:val="18"/>
                <w:szCs w:val="18"/>
                <w:lang w:val="en-US" w:eastAsia="zh-CN"/>
              </w:rPr>
              <w:t>短时间内他引14次，国际电讯联盟资深网络安全专家Youki Kadobayashi教授引用本文，作为卷积神经网络的引申阅读材料</w:t>
            </w:r>
          </w:p>
        </w:tc>
        <w:tc>
          <w:tcPr>
            <w:tcW w:w="1388" w:type="dxa"/>
            <w:shd w:val="clear" w:color="auto" w:fill="auto"/>
            <w:vAlign w:val="center"/>
          </w:tcPr>
          <w:p>
            <w:pPr>
              <w:widowControl/>
              <w:jc w:val="center"/>
              <w:rPr>
                <w:rFonts w:hint="default" w:ascii="Times New Roman" w:hAnsi="Times New Roman" w:eastAsia="楷体" w:cs="Times New Roman"/>
                <w:sz w:val="24"/>
                <w:szCs w:val="24"/>
              </w:rPr>
            </w:pPr>
            <w:r>
              <w:rPr>
                <w:rFonts w:hint="default" w:ascii="Times New Roman" w:hAnsi="Times New Roman" w:eastAsia="楷体" w:cs="Times New Roman"/>
                <w:sz w:val="24"/>
                <w:szCs w:val="24"/>
                <w:lang w:val="en-US" w:eastAsia="zh-CN"/>
              </w:rPr>
              <w:t>A（CCF-C）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7" w:hRule="exact"/>
        </w:trPr>
        <w:tc>
          <w:tcPr>
            <w:tcW w:w="442"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8</w:t>
            </w:r>
          </w:p>
        </w:tc>
        <w:tc>
          <w:tcPr>
            <w:tcW w:w="2482"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kern w:val="2"/>
                <w:sz w:val="13"/>
                <w:szCs w:val="13"/>
                <w:shd w:val="clear" w:fill="FFFFFF"/>
                <w:lang w:val="en-US" w:eastAsia="zh-CN" w:bidi="ar-SA"/>
              </w:rPr>
            </w:pPr>
            <w:r>
              <w:rPr>
                <w:rFonts w:hint="eastAsia" w:ascii="Times New Roman" w:hAnsi="Times New Roman" w:eastAsia="Helvetica" w:cs="Times New Roman"/>
                <w:i w:val="0"/>
                <w:iCs w:val="0"/>
                <w:caps w:val="0"/>
                <w:color w:val="auto"/>
                <w:spacing w:val="0"/>
                <w:sz w:val="13"/>
                <w:szCs w:val="13"/>
                <w:shd w:val="clear" w:fill="FFFFFF"/>
              </w:rPr>
              <w:t>End-to-end chromosome Karyotyping with data augmentation using GAN</w:t>
            </w:r>
          </w:p>
        </w:tc>
        <w:tc>
          <w:tcPr>
            <w:tcW w:w="1385" w:type="dxa"/>
            <w:vAlign w:val="center"/>
          </w:tcPr>
          <w:p>
            <w:pPr>
              <w:jc w:val="center"/>
              <w:rPr>
                <w:rFonts w:hint="default" w:ascii="Times New Roman" w:hAnsi="Times New Roman" w:eastAsia="Helvetica" w:cs="Times New Roman"/>
                <w:i w:val="0"/>
                <w:iCs w:val="0"/>
                <w:caps w:val="0"/>
                <w:color w:val="auto"/>
                <w:spacing w:val="0"/>
                <w:sz w:val="13"/>
                <w:szCs w:val="13"/>
                <w:shd w:val="clear" w:fill="FFFFFF"/>
              </w:rPr>
            </w:pPr>
            <w:r>
              <w:rPr>
                <w:rFonts w:hint="default" w:ascii="Times New Roman" w:hAnsi="Times New Roman" w:eastAsia="Helvetica" w:cs="Times New Roman"/>
                <w:i w:val="0"/>
                <w:iCs w:val="0"/>
                <w:caps w:val="0"/>
                <w:color w:val="auto"/>
                <w:spacing w:val="0"/>
                <w:sz w:val="13"/>
                <w:szCs w:val="13"/>
                <w:shd w:val="clear" w:fill="FFFFFF"/>
              </w:rPr>
              <w:t>2018 IEEE International Conference on Image Processing</w:t>
            </w:r>
          </w:p>
        </w:tc>
        <w:tc>
          <w:tcPr>
            <w:tcW w:w="1006"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2018</w:t>
            </w:r>
          </w:p>
        </w:tc>
        <w:tc>
          <w:tcPr>
            <w:tcW w:w="2864" w:type="dxa"/>
            <w:vAlign w:val="center"/>
          </w:tcPr>
          <w:p>
            <w:pPr>
              <w:jc w:val="center"/>
              <w:rPr>
                <w:rFonts w:hint="default" w:ascii="楷体" w:hAnsi="楷体" w:eastAsia="楷体"/>
                <w:sz w:val="24"/>
                <w:szCs w:val="24"/>
                <w:lang w:val="en-US" w:eastAsia="zh-CN"/>
              </w:rPr>
            </w:pPr>
            <w:r>
              <w:rPr>
                <w:rFonts w:hint="eastAsia" w:ascii="Times New Roman" w:hAnsi="Times New Roman" w:eastAsia="楷体" w:cs="Times New Roman"/>
                <w:sz w:val="18"/>
                <w:szCs w:val="18"/>
                <w:lang w:val="en-US" w:eastAsia="zh-CN"/>
              </w:rPr>
              <w:t>他引19次，英国皇家工程院院士、 IEEE Fellow Guang-Zhong Yang教授评价对不充分数据实现了基于深度智能方法的数据增强</w:t>
            </w:r>
          </w:p>
        </w:tc>
        <w:tc>
          <w:tcPr>
            <w:tcW w:w="1388" w:type="dxa"/>
            <w:shd w:val="clear" w:color="auto" w:fill="auto"/>
            <w:vAlign w:val="center"/>
          </w:tcPr>
          <w:p>
            <w:pPr>
              <w:widowControl/>
              <w:jc w:val="center"/>
              <w:rPr>
                <w:rFonts w:hint="default" w:ascii="Times New Roman" w:hAnsi="Times New Roman" w:eastAsia="楷体" w:cs="Times New Roman"/>
                <w:sz w:val="24"/>
                <w:szCs w:val="24"/>
              </w:rPr>
            </w:pPr>
            <w:r>
              <w:rPr>
                <w:rFonts w:hint="default" w:ascii="Times New Roman" w:hAnsi="Times New Roman" w:eastAsia="楷体" w:cs="Times New Roman"/>
                <w:sz w:val="24"/>
                <w:szCs w:val="24"/>
                <w:lang w:val="en-US" w:eastAsia="zh-CN"/>
              </w:rPr>
              <w:t>A（CCF-C）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7" w:hRule="exact"/>
        </w:trPr>
        <w:tc>
          <w:tcPr>
            <w:tcW w:w="442"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9</w:t>
            </w:r>
          </w:p>
        </w:tc>
        <w:tc>
          <w:tcPr>
            <w:tcW w:w="2482"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kern w:val="2"/>
                <w:sz w:val="13"/>
                <w:szCs w:val="13"/>
                <w:shd w:val="clear" w:fill="FFFFFF"/>
                <w:lang w:val="en-US" w:eastAsia="zh-CN" w:bidi="ar-SA"/>
              </w:rPr>
            </w:pPr>
            <w:r>
              <w:rPr>
                <w:rFonts w:hint="eastAsia" w:ascii="Times New Roman" w:hAnsi="Times New Roman" w:eastAsia="Helvetica" w:cs="Times New Roman"/>
                <w:i w:val="0"/>
                <w:iCs w:val="0"/>
                <w:caps w:val="0"/>
                <w:color w:val="auto"/>
                <w:spacing w:val="0"/>
                <w:sz w:val="13"/>
                <w:szCs w:val="13"/>
                <w:shd w:val="clear" w:fill="FFFFFF"/>
              </w:rPr>
              <w:t>CT-CAD: Context-Aware Transformers for End-to-End Chest Abnormality Detection on X-Rays</w:t>
            </w:r>
          </w:p>
        </w:tc>
        <w:tc>
          <w:tcPr>
            <w:tcW w:w="1385"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sz w:val="13"/>
                <w:szCs w:val="13"/>
                <w:shd w:val="clear" w:fill="FFFFFF"/>
              </w:rPr>
            </w:pPr>
            <w:r>
              <w:rPr>
                <w:rFonts w:hint="default" w:ascii="Times New Roman" w:hAnsi="Times New Roman" w:eastAsia="Helvetica" w:cs="Times New Roman"/>
                <w:i w:val="0"/>
                <w:iCs w:val="0"/>
                <w:caps w:val="0"/>
                <w:color w:val="auto"/>
                <w:spacing w:val="0"/>
                <w:sz w:val="13"/>
                <w:szCs w:val="13"/>
                <w:shd w:val="clear" w:fill="FFFFFF"/>
              </w:rPr>
              <w:t>2021 IEEE International Conference on Bioinformatics and Biomedicine</w:t>
            </w:r>
          </w:p>
        </w:tc>
        <w:tc>
          <w:tcPr>
            <w:tcW w:w="1006"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2021</w:t>
            </w:r>
          </w:p>
        </w:tc>
        <w:tc>
          <w:tcPr>
            <w:tcW w:w="2864" w:type="dxa"/>
            <w:vAlign w:val="center"/>
          </w:tcPr>
          <w:p>
            <w:pPr>
              <w:jc w:val="center"/>
              <w:rPr>
                <w:rFonts w:hint="default" w:ascii="楷体" w:hAnsi="楷体" w:eastAsia="楷体"/>
                <w:sz w:val="24"/>
                <w:szCs w:val="24"/>
                <w:lang w:val="en-US" w:eastAsia="zh-CN"/>
              </w:rPr>
            </w:pPr>
            <w:r>
              <w:rPr>
                <w:rFonts w:hint="eastAsia" w:ascii="Times New Roman" w:hAnsi="Times New Roman" w:eastAsia="楷体" w:cs="Times New Roman"/>
                <w:sz w:val="18"/>
                <w:szCs w:val="18"/>
                <w:lang w:val="en-US" w:eastAsia="zh-CN"/>
              </w:rPr>
              <w:t>审稿人认为我们为自动的胸部诊断带来了全新的方法，并且在消融实验与多个数据集上取得了好的效果</w:t>
            </w:r>
          </w:p>
        </w:tc>
        <w:tc>
          <w:tcPr>
            <w:tcW w:w="1388" w:type="dxa"/>
            <w:shd w:val="clear" w:color="auto" w:fill="auto"/>
            <w:vAlign w:val="center"/>
          </w:tcPr>
          <w:p>
            <w:pPr>
              <w:widowControl/>
              <w:jc w:val="center"/>
              <w:rPr>
                <w:rFonts w:hint="default" w:ascii="Times New Roman" w:hAnsi="Times New Roman" w:eastAsia="楷体" w:cs="Times New Roman"/>
                <w:sz w:val="24"/>
                <w:szCs w:val="24"/>
              </w:rPr>
            </w:pPr>
            <w:r>
              <w:rPr>
                <w:rFonts w:hint="default" w:ascii="Times New Roman" w:hAnsi="Times New Roman" w:eastAsia="楷体" w:cs="Times New Roman"/>
                <w:sz w:val="24"/>
                <w:szCs w:val="24"/>
                <w:lang w:val="en-US" w:eastAsia="zh-CN"/>
              </w:rPr>
              <w:t>A（CCF-B）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7" w:hRule="exact"/>
        </w:trPr>
        <w:tc>
          <w:tcPr>
            <w:tcW w:w="442" w:type="dxa"/>
            <w:vAlign w:val="center"/>
          </w:tcPr>
          <w:p>
            <w:pPr>
              <w:snapToGrid w:val="0"/>
              <w:spacing w:line="320" w:lineRule="atLeast"/>
              <w:jc w:val="center"/>
              <w:rPr>
                <w:rFonts w:ascii="宋体" w:hAnsi="宋体" w:eastAsia="宋体" w:cs="宋体"/>
                <w:sz w:val="21"/>
                <w:szCs w:val="21"/>
              </w:rPr>
            </w:pPr>
            <w:r>
              <w:rPr>
                <w:rFonts w:hint="eastAsia" w:ascii="宋体" w:hAnsi="宋体" w:eastAsia="宋体" w:cs="宋体"/>
                <w:sz w:val="21"/>
                <w:szCs w:val="21"/>
              </w:rPr>
              <w:t>10</w:t>
            </w:r>
          </w:p>
        </w:tc>
        <w:tc>
          <w:tcPr>
            <w:tcW w:w="2482" w:type="dxa"/>
            <w:vAlign w:val="center"/>
          </w:tcPr>
          <w:p>
            <w:pPr>
              <w:snapToGrid w:val="0"/>
              <w:spacing w:line="320" w:lineRule="atLeast"/>
              <w:jc w:val="center"/>
              <w:rPr>
                <w:rFonts w:hint="default" w:ascii="Times New Roman" w:hAnsi="Times New Roman" w:eastAsia="Helvetica" w:cs="Times New Roman"/>
                <w:i w:val="0"/>
                <w:iCs w:val="0"/>
                <w:caps w:val="0"/>
                <w:color w:val="auto"/>
                <w:spacing w:val="0"/>
                <w:sz w:val="13"/>
                <w:szCs w:val="13"/>
                <w:shd w:val="clear" w:fill="FFFFFF"/>
              </w:rPr>
            </w:pPr>
            <w:r>
              <w:rPr>
                <w:rFonts w:hint="eastAsia" w:ascii="Times New Roman" w:hAnsi="Times New Roman" w:eastAsia="Helvetica" w:cs="Times New Roman"/>
                <w:i w:val="0"/>
                <w:iCs w:val="0"/>
                <w:caps w:val="0"/>
                <w:color w:val="auto"/>
                <w:spacing w:val="0"/>
                <w:sz w:val="13"/>
                <w:szCs w:val="13"/>
                <w:shd w:val="clear" w:fill="FFFFFF"/>
              </w:rPr>
              <w:t>ARNet: active-reference network for few-shot image semantic segmentation</w:t>
            </w:r>
          </w:p>
        </w:tc>
        <w:tc>
          <w:tcPr>
            <w:tcW w:w="1385" w:type="dxa"/>
            <w:vAlign w:val="center"/>
          </w:tcPr>
          <w:p>
            <w:pPr>
              <w:jc w:val="center"/>
              <w:rPr>
                <w:rFonts w:hint="default" w:ascii="Times New Roman" w:hAnsi="Times New Roman" w:eastAsia="Helvetica" w:cs="Times New Roman"/>
                <w:i w:val="0"/>
                <w:iCs w:val="0"/>
                <w:caps w:val="0"/>
                <w:color w:val="auto"/>
                <w:spacing w:val="0"/>
                <w:sz w:val="13"/>
                <w:szCs w:val="13"/>
                <w:shd w:val="clear" w:fill="FFFFFF"/>
              </w:rPr>
            </w:pPr>
            <w:r>
              <w:rPr>
                <w:rFonts w:hint="default" w:ascii="Times New Roman" w:hAnsi="Times New Roman" w:eastAsia="Helvetica" w:cs="Times New Roman"/>
                <w:i w:val="0"/>
                <w:iCs w:val="0"/>
                <w:caps w:val="0"/>
                <w:color w:val="auto"/>
                <w:spacing w:val="0"/>
                <w:sz w:val="13"/>
                <w:szCs w:val="13"/>
                <w:shd w:val="clear" w:fill="FFFFFF"/>
              </w:rPr>
              <w:t>2021 IEEE International Conference on Multimedia and Expo</w:t>
            </w:r>
          </w:p>
        </w:tc>
        <w:tc>
          <w:tcPr>
            <w:tcW w:w="1006" w:type="dxa"/>
            <w:vAlign w:val="center"/>
          </w:tcPr>
          <w:p>
            <w:pPr>
              <w:jc w:val="center"/>
              <w:rPr>
                <w:rFonts w:hint="default" w:ascii="楷体" w:hAnsi="楷体" w:eastAsia="楷体"/>
                <w:sz w:val="24"/>
                <w:szCs w:val="24"/>
                <w:lang w:val="en-US" w:eastAsia="zh-CN"/>
              </w:rPr>
            </w:pPr>
            <w:r>
              <w:rPr>
                <w:rFonts w:hint="eastAsia" w:ascii="楷体" w:hAnsi="楷体" w:eastAsia="楷体"/>
                <w:sz w:val="24"/>
                <w:szCs w:val="24"/>
                <w:lang w:val="en-US" w:eastAsia="zh-CN"/>
              </w:rPr>
              <w:t>2021</w:t>
            </w:r>
          </w:p>
        </w:tc>
        <w:tc>
          <w:tcPr>
            <w:tcW w:w="2864" w:type="dxa"/>
            <w:vAlign w:val="center"/>
          </w:tcPr>
          <w:p>
            <w:pPr>
              <w:jc w:val="center"/>
              <w:rPr>
                <w:rFonts w:hint="default" w:ascii="楷体" w:hAnsi="楷体" w:eastAsia="楷体"/>
                <w:sz w:val="24"/>
                <w:szCs w:val="24"/>
                <w:lang w:val="en-US" w:eastAsia="zh-CN"/>
              </w:rPr>
            </w:pPr>
            <w:r>
              <w:rPr>
                <w:rFonts w:hint="eastAsia" w:ascii="Times New Roman" w:hAnsi="Times New Roman" w:eastAsia="楷体" w:cs="Times New Roman"/>
                <w:sz w:val="18"/>
                <w:szCs w:val="18"/>
                <w:lang w:val="en-US" w:eastAsia="zh-CN"/>
              </w:rPr>
              <w:t>审稿人评价为小样本分割带来了全新的思路，效果较好</w:t>
            </w:r>
          </w:p>
        </w:tc>
        <w:tc>
          <w:tcPr>
            <w:tcW w:w="1388" w:type="dxa"/>
            <w:shd w:val="clear" w:color="auto" w:fill="auto"/>
            <w:vAlign w:val="center"/>
          </w:tcPr>
          <w:p>
            <w:pPr>
              <w:widowControl/>
              <w:jc w:val="center"/>
              <w:rPr>
                <w:rFonts w:hint="default" w:ascii="Times New Roman" w:hAnsi="Times New Roman" w:eastAsia="楷体" w:cs="Times New Roman"/>
                <w:sz w:val="24"/>
                <w:szCs w:val="24"/>
              </w:rPr>
            </w:pPr>
            <w:r>
              <w:rPr>
                <w:rFonts w:hint="default" w:ascii="Times New Roman" w:hAnsi="Times New Roman" w:eastAsia="楷体" w:cs="Times New Roman"/>
                <w:sz w:val="24"/>
                <w:szCs w:val="24"/>
                <w:lang w:val="en-US" w:eastAsia="zh-CN"/>
              </w:rPr>
              <w:t>A（CCF-B）</w:t>
            </w:r>
          </w:p>
        </w:tc>
      </w:tr>
    </w:tbl>
    <w:p>
      <w:pPr>
        <w:jc w:val="left"/>
        <w:rPr>
          <w:rFonts w:ascii="Times New Roman" w:hAnsi="Times New Roman" w:eastAsia="黑体"/>
          <w:szCs w:val="32"/>
        </w:rPr>
        <w:sectPr>
          <w:pgSz w:w="11906" w:h="16838"/>
          <w:pgMar w:top="1440" w:right="1134" w:bottom="1440" w:left="1134" w:header="851" w:footer="992" w:gutter="0"/>
          <w:cols w:space="720" w:num="1"/>
          <w:docGrid w:type="lines" w:linePitch="312" w:charSpace="0"/>
        </w:sectPr>
      </w:pPr>
    </w:p>
    <w:tbl>
      <w:tblPr>
        <w:tblStyle w:val="9"/>
        <w:tblW w:w="9356"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0"/>
        <w:gridCol w:w="1171"/>
        <w:gridCol w:w="1352"/>
        <w:gridCol w:w="1134"/>
        <w:gridCol w:w="1276"/>
        <w:gridCol w:w="1162"/>
        <w:gridCol w:w="1134"/>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9356" w:type="dxa"/>
            <w:gridSpan w:val="8"/>
            <w:vAlign w:val="center"/>
          </w:tcPr>
          <w:p>
            <w:pPr>
              <w:snapToGrid w:val="0"/>
              <w:jc w:val="left"/>
              <w:rPr>
                <w:rFonts w:ascii="黑体" w:hAnsi="黑体" w:eastAsia="黑体"/>
                <w:sz w:val="24"/>
                <w:szCs w:val="24"/>
              </w:rPr>
            </w:pPr>
            <w:r>
              <w:rPr>
                <w:rFonts w:hint="eastAsia" w:ascii="黑体" w:hAnsi="黑体" w:eastAsia="黑体"/>
                <w:sz w:val="24"/>
                <w:szCs w:val="24"/>
              </w:rPr>
              <w:t>5</w:t>
            </w:r>
            <w:r>
              <w:rPr>
                <w:rFonts w:ascii="黑体" w:hAnsi="黑体" w:eastAsia="黑体"/>
                <w:sz w:val="24"/>
                <w:szCs w:val="24"/>
              </w:rPr>
              <w:t>.</w:t>
            </w:r>
            <w:r>
              <w:rPr>
                <w:rFonts w:hint="eastAsia" w:ascii="黑体" w:hAnsi="黑体" w:eastAsia="黑体"/>
                <w:sz w:val="24"/>
                <w:szCs w:val="24"/>
              </w:rPr>
              <w:t>获授权</w:t>
            </w:r>
            <w:r>
              <w:rPr>
                <w:rFonts w:ascii="黑体" w:hAnsi="黑体" w:eastAsia="黑体"/>
                <w:sz w:val="24"/>
                <w:szCs w:val="24"/>
              </w:rPr>
              <w:t>专利</w:t>
            </w:r>
            <w:r>
              <w:rPr>
                <w:rFonts w:hint="eastAsia" w:ascii="黑体" w:hAnsi="黑体" w:eastAsia="黑体"/>
                <w:sz w:val="24"/>
                <w:szCs w:val="24"/>
              </w:rPr>
              <w:t>情况（</w:t>
            </w:r>
            <w:r>
              <w:rPr>
                <w:rFonts w:ascii="黑体" w:hAnsi="黑体" w:eastAsia="黑体"/>
                <w:sz w:val="24"/>
                <w:szCs w:val="24"/>
              </w:rPr>
              <w:t>第一发明人）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72" w:hRule="exact"/>
        </w:trPr>
        <w:tc>
          <w:tcPr>
            <w:tcW w:w="880" w:type="dxa"/>
            <w:vAlign w:val="center"/>
          </w:tcPr>
          <w:p>
            <w:pPr>
              <w:snapToGrid w:val="0"/>
              <w:jc w:val="center"/>
              <w:rPr>
                <w:rFonts w:ascii="宋体" w:hAnsi="宋体" w:eastAsia="宋体" w:cs="宋体"/>
                <w:sz w:val="21"/>
                <w:szCs w:val="21"/>
              </w:rPr>
            </w:pPr>
            <w:r>
              <w:rPr>
                <w:rFonts w:hint="eastAsia" w:ascii="宋体" w:hAnsi="宋体" w:eastAsia="宋体" w:cs="宋体"/>
                <w:sz w:val="21"/>
                <w:szCs w:val="21"/>
              </w:rPr>
              <w:t>序号</w:t>
            </w:r>
          </w:p>
        </w:tc>
        <w:tc>
          <w:tcPr>
            <w:tcW w:w="1171" w:type="dxa"/>
            <w:vAlign w:val="center"/>
          </w:tcPr>
          <w:p>
            <w:pPr>
              <w:snapToGrid w:val="0"/>
              <w:jc w:val="center"/>
              <w:rPr>
                <w:rFonts w:ascii="宋体" w:hAnsi="宋体" w:eastAsia="宋体" w:cs="宋体"/>
                <w:sz w:val="21"/>
                <w:szCs w:val="21"/>
              </w:rPr>
            </w:pPr>
            <w:r>
              <w:rPr>
                <w:rFonts w:hint="eastAsia" w:ascii="宋体" w:hAnsi="宋体" w:eastAsia="宋体" w:cs="宋体"/>
                <w:sz w:val="21"/>
                <w:szCs w:val="21"/>
              </w:rPr>
              <w:t>专利号</w:t>
            </w:r>
          </w:p>
        </w:tc>
        <w:tc>
          <w:tcPr>
            <w:tcW w:w="1352" w:type="dxa"/>
            <w:vAlign w:val="center"/>
          </w:tcPr>
          <w:p>
            <w:pPr>
              <w:snapToGrid w:val="0"/>
              <w:jc w:val="center"/>
              <w:rPr>
                <w:rFonts w:ascii="宋体" w:hAnsi="宋体" w:eastAsia="宋体" w:cs="宋体"/>
                <w:sz w:val="21"/>
                <w:szCs w:val="21"/>
              </w:rPr>
            </w:pPr>
            <w:r>
              <w:rPr>
                <w:rFonts w:hint="eastAsia" w:ascii="宋体" w:hAnsi="宋体" w:eastAsia="宋体" w:cs="宋体"/>
                <w:sz w:val="21"/>
                <w:szCs w:val="21"/>
              </w:rPr>
              <w:t>专利名称</w:t>
            </w:r>
          </w:p>
        </w:tc>
        <w:tc>
          <w:tcPr>
            <w:tcW w:w="1134" w:type="dxa"/>
            <w:vAlign w:val="center"/>
          </w:tcPr>
          <w:p>
            <w:pPr>
              <w:snapToGrid w:val="0"/>
              <w:jc w:val="center"/>
              <w:rPr>
                <w:rFonts w:ascii="宋体" w:hAnsi="宋体" w:eastAsia="宋体" w:cs="宋体"/>
                <w:sz w:val="21"/>
                <w:szCs w:val="21"/>
              </w:rPr>
            </w:pPr>
            <w:r>
              <w:rPr>
                <w:rFonts w:hint="eastAsia" w:ascii="宋体" w:hAnsi="宋体" w:eastAsia="宋体" w:cs="宋体"/>
                <w:sz w:val="21"/>
                <w:szCs w:val="21"/>
              </w:rPr>
              <w:t>专利类别</w:t>
            </w:r>
          </w:p>
        </w:tc>
        <w:tc>
          <w:tcPr>
            <w:tcW w:w="1276" w:type="dxa"/>
            <w:vAlign w:val="center"/>
          </w:tcPr>
          <w:p>
            <w:pPr>
              <w:snapToGrid w:val="0"/>
              <w:jc w:val="center"/>
              <w:rPr>
                <w:rFonts w:ascii="宋体" w:hAnsi="宋体" w:eastAsia="宋体" w:cs="宋体"/>
                <w:sz w:val="21"/>
                <w:szCs w:val="21"/>
              </w:rPr>
            </w:pPr>
            <w:r>
              <w:rPr>
                <w:rFonts w:hint="eastAsia" w:ascii="宋体" w:hAnsi="宋体" w:eastAsia="宋体" w:cs="宋体"/>
                <w:sz w:val="21"/>
                <w:szCs w:val="21"/>
              </w:rPr>
              <w:t>授权时间</w:t>
            </w:r>
          </w:p>
        </w:tc>
        <w:tc>
          <w:tcPr>
            <w:tcW w:w="1162" w:type="dxa"/>
            <w:vAlign w:val="center"/>
          </w:tcPr>
          <w:p>
            <w:pPr>
              <w:snapToGrid w:val="0"/>
              <w:jc w:val="center"/>
              <w:rPr>
                <w:rFonts w:ascii="宋体" w:hAnsi="宋体" w:eastAsia="宋体" w:cs="宋体"/>
                <w:sz w:val="21"/>
                <w:szCs w:val="21"/>
              </w:rPr>
            </w:pPr>
            <w:r>
              <w:rPr>
                <w:rFonts w:hint="eastAsia" w:ascii="宋体" w:hAnsi="宋体" w:eastAsia="宋体" w:cs="宋体"/>
                <w:sz w:val="21"/>
                <w:szCs w:val="21"/>
              </w:rPr>
              <w:t>本人排名/总人数</w:t>
            </w:r>
          </w:p>
        </w:tc>
        <w:tc>
          <w:tcPr>
            <w:tcW w:w="1134" w:type="dxa"/>
            <w:vAlign w:val="center"/>
          </w:tcPr>
          <w:p>
            <w:pPr>
              <w:snapToGrid w:val="0"/>
              <w:jc w:val="center"/>
              <w:rPr>
                <w:rFonts w:ascii="宋体" w:hAnsi="宋体" w:eastAsia="宋体" w:cs="宋体"/>
                <w:sz w:val="21"/>
                <w:szCs w:val="21"/>
              </w:rPr>
            </w:pPr>
            <w:r>
              <w:rPr>
                <w:rFonts w:hint="eastAsia" w:ascii="宋体" w:hAnsi="宋体" w:eastAsia="宋体" w:cs="宋体"/>
                <w:sz w:val="21"/>
                <w:szCs w:val="21"/>
              </w:rPr>
              <w:t>专利转化合</w:t>
            </w:r>
            <w:r>
              <w:rPr>
                <w:rFonts w:ascii="宋体" w:hAnsi="宋体" w:eastAsia="宋体" w:cs="宋体"/>
                <w:sz w:val="21"/>
                <w:szCs w:val="21"/>
              </w:rPr>
              <w:t>同</w:t>
            </w:r>
            <w:r>
              <w:rPr>
                <w:rFonts w:hint="eastAsia" w:ascii="宋体" w:hAnsi="宋体" w:eastAsia="宋体" w:cs="宋体"/>
                <w:sz w:val="21"/>
                <w:szCs w:val="21"/>
              </w:rPr>
              <w:t>经费</w:t>
            </w:r>
          </w:p>
        </w:tc>
        <w:tc>
          <w:tcPr>
            <w:tcW w:w="1247" w:type="dxa"/>
            <w:vAlign w:val="center"/>
          </w:tcPr>
          <w:p>
            <w:pPr>
              <w:snapToGrid w:val="0"/>
              <w:jc w:val="center"/>
              <w:rPr>
                <w:rFonts w:ascii="宋体" w:hAnsi="宋体" w:eastAsia="宋体" w:cs="宋体"/>
                <w:sz w:val="21"/>
                <w:szCs w:val="21"/>
              </w:rPr>
            </w:pPr>
            <w:r>
              <w:rPr>
                <w:rFonts w:hint="eastAsia" w:ascii="宋体" w:hAnsi="宋体" w:eastAsia="宋体" w:cs="宋体"/>
                <w:sz w:val="21"/>
                <w:szCs w:val="21"/>
              </w:rPr>
              <w:t>专利转化</w:t>
            </w:r>
          </w:p>
          <w:p>
            <w:pPr>
              <w:snapToGrid w:val="0"/>
              <w:jc w:val="center"/>
              <w:rPr>
                <w:rFonts w:ascii="宋体" w:hAnsi="宋体" w:eastAsia="宋体" w:cs="宋体"/>
                <w:sz w:val="21"/>
                <w:szCs w:val="21"/>
              </w:rPr>
            </w:pPr>
            <w:r>
              <w:rPr>
                <w:rFonts w:hint="eastAsia" w:ascii="宋体" w:hAnsi="宋体" w:eastAsia="宋体" w:cs="宋体"/>
                <w:sz w:val="21"/>
                <w:szCs w:val="21"/>
              </w:rPr>
              <w:t>到款经费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trPr>
        <w:tc>
          <w:tcPr>
            <w:tcW w:w="880" w:type="dxa"/>
            <w:vAlign w:val="center"/>
          </w:tcPr>
          <w:p>
            <w:pPr>
              <w:snapToGrid w:val="0"/>
              <w:jc w:val="center"/>
              <w:rPr>
                <w:rFonts w:ascii="仿宋" w:hAnsi="仿宋" w:eastAsia="仿宋" w:cs="宋体"/>
                <w:sz w:val="24"/>
              </w:rPr>
            </w:pPr>
          </w:p>
        </w:tc>
        <w:tc>
          <w:tcPr>
            <w:tcW w:w="1171" w:type="dxa"/>
            <w:vAlign w:val="center"/>
          </w:tcPr>
          <w:p>
            <w:pPr>
              <w:snapToGrid w:val="0"/>
              <w:jc w:val="center"/>
              <w:rPr>
                <w:rFonts w:ascii="仿宋" w:hAnsi="仿宋" w:eastAsia="仿宋" w:cs="宋体"/>
                <w:sz w:val="24"/>
              </w:rPr>
            </w:pPr>
          </w:p>
        </w:tc>
        <w:tc>
          <w:tcPr>
            <w:tcW w:w="1352" w:type="dxa"/>
            <w:vAlign w:val="center"/>
          </w:tcPr>
          <w:p>
            <w:pPr>
              <w:snapToGrid w:val="0"/>
              <w:jc w:val="center"/>
              <w:rPr>
                <w:rFonts w:ascii="仿宋" w:hAnsi="仿宋" w:eastAsia="仿宋" w:cs="宋体"/>
                <w:sz w:val="24"/>
              </w:rPr>
            </w:pPr>
          </w:p>
        </w:tc>
        <w:tc>
          <w:tcPr>
            <w:tcW w:w="1134" w:type="dxa"/>
            <w:vAlign w:val="center"/>
          </w:tcPr>
          <w:p>
            <w:pPr>
              <w:snapToGrid w:val="0"/>
              <w:jc w:val="center"/>
              <w:rPr>
                <w:rFonts w:ascii="仿宋" w:hAnsi="仿宋" w:eastAsia="仿宋" w:cs="宋体"/>
                <w:sz w:val="24"/>
              </w:rPr>
            </w:pPr>
          </w:p>
        </w:tc>
        <w:tc>
          <w:tcPr>
            <w:tcW w:w="1276" w:type="dxa"/>
            <w:vAlign w:val="center"/>
          </w:tcPr>
          <w:p>
            <w:pPr>
              <w:snapToGrid w:val="0"/>
              <w:jc w:val="center"/>
              <w:rPr>
                <w:rFonts w:ascii="仿宋" w:hAnsi="仿宋" w:eastAsia="仿宋" w:cs="宋体"/>
                <w:sz w:val="24"/>
              </w:rPr>
            </w:pPr>
          </w:p>
        </w:tc>
        <w:tc>
          <w:tcPr>
            <w:tcW w:w="1162" w:type="dxa"/>
            <w:vAlign w:val="center"/>
          </w:tcPr>
          <w:p>
            <w:pPr>
              <w:snapToGrid w:val="0"/>
              <w:jc w:val="center"/>
              <w:rPr>
                <w:rFonts w:ascii="仿宋" w:hAnsi="仿宋" w:eastAsia="仿宋" w:cs="宋体"/>
                <w:sz w:val="24"/>
              </w:rPr>
            </w:pPr>
          </w:p>
        </w:tc>
        <w:tc>
          <w:tcPr>
            <w:tcW w:w="1134" w:type="dxa"/>
            <w:vAlign w:val="center"/>
          </w:tcPr>
          <w:p>
            <w:pPr>
              <w:snapToGrid w:val="0"/>
              <w:jc w:val="center"/>
              <w:rPr>
                <w:rFonts w:ascii="仿宋" w:hAnsi="仿宋" w:eastAsia="仿宋" w:cs="宋体"/>
                <w:sz w:val="24"/>
              </w:rPr>
            </w:pPr>
          </w:p>
        </w:tc>
        <w:tc>
          <w:tcPr>
            <w:tcW w:w="1247" w:type="dxa"/>
            <w:vAlign w:val="center"/>
          </w:tcPr>
          <w:p>
            <w:pPr>
              <w:snapToGrid w:val="0"/>
              <w:jc w:val="center"/>
              <w:rPr>
                <w:rFonts w:ascii="仿宋" w:hAnsi="仿宋" w:eastAsia="仿宋"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trPr>
        <w:tc>
          <w:tcPr>
            <w:tcW w:w="880" w:type="dxa"/>
            <w:vAlign w:val="center"/>
          </w:tcPr>
          <w:p>
            <w:pPr>
              <w:snapToGrid w:val="0"/>
              <w:jc w:val="center"/>
              <w:rPr>
                <w:rFonts w:ascii="仿宋" w:hAnsi="仿宋" w:eastAsia="仿宋" w:cs="宋体"/>
                <w:sz w:val="24"/>
              </w:rPr>
            </w:pPr>
          </w:p>
        </w:tc>
        <w:tc>
          <w:tcPr>
            <w:tcW w:w="1171" w:type="dxa"/>
            <w:vAlign w:val="center"/>
          </w:tcPr>
          <w:p>
            <w:pPr>
              <w:snapToGrid w:val="0"/>
              <w:jc w:val="center"/>
              <w:rPr>
                <w:rFonts w:ascii="仿宋" w:hAnsi="仿宋" w:eastAsia="仿宋" w:cs="宋体"/>
                <w:sz w:val="24"/>
              </w:rPr>
            </w:pPr>
          </w:p>
        </w:tc>
        <w:tc>
          <w:tcPr>
            <w:tcW w:w="1352" w:type="dxa"/>
            <w:vAlign w:val="center"/>
          </w:tcPr>
          <w:p>
            <w:pPr>
              <w:snapToGrid w:val="0"/>
              <w:jc w:val="center"/>
              <w:rPr>
                <w:rFonts w:ascii="仿宋" w:hAnsi="仿宋" w:eastAsia="仿宋" w:cs="宋体"/>
                <w:sz w:val="24"/>
              </w:rPr>
            </w:pPr>
          </w:p>
        </w:tc>
        <w:tc>
          <w:tcPr>
            <w:tcW w:w="1134" w:type="dxa"/>
            <w:vAlign w:val="center"/>
          </w:tcPr>
          <w:p>
            <w:pPr>
              <w:snapToGrid w:val="0"/>
              <w:jc w:val="center"/>
              <w:rPr>
                <w:rFonts w:ascii="仿宋" w:hAnsi="仿宋" w:eastAsia="仿宋" w:cs="宋体"/>
                <w:sz w:val="24"/>
              </w:rPr>
            </w:pPr>
          </w:p>
        </w:tc>
        <w:tc>
          <w:tcPr>
            <w:tcW w:w="1276" w:type="dxa"/>
            <w:vAlign w:val="center"/>
          </w:tcPr>
          <w:p>
            <w:pPr>
              <w:snapToGrid w:val="0"/>
              <w:jc w:val="center"/>
              <w:rPr>
                <w:rFonts w:ascii="仿宋" w:hAnsi="仿宋" w:eastAsia="仿宋" w:cs="宋体"/>
                <w:sz w:val="24"/>
              </w:rPr>
            </w:pPr>
          </w:p>
        </w:tc>
        <w:tc>
          <w:tcPr>
            <w:tcW w:w="1162" w:type="dxa"/>
            <w:vAlign w:val="center"/>
          </w:tcPr>
          <w:p>
            <w:pPr>
              <w:snapToGrid w:val="0"/>
              <w:jc w:val="center"/>
              <w:rPr>
                <w:rFonts w:ascii="仿宋" w:hAnsi="仿宋" w:eastAsia="仿宋" w:cs="宋体"/>
                <w:sz w:val="24"/>
              </w:rPr>
            </w:pPr>
          </w:p>
        </w:tc>
        <w:tc>
          <w:tcPr>
            <w:tcW w:w="1134" w:type="dxa"/>
            <w:vAlign w:val="center"/>
          </w:tcPr>
          <w:p>
            <w:pPr>
              <w:snapToGrid w:val="0"/>
              <w:jc w:val="center"/>
              <w:rPr>
                <w:rFonts w:ascii="仿宋" w:hAnsi="仿宋" w:eastAsia="仿宋" w:cs="宋体"/>
                <w:sz w:val="24"/>
              </w:rPr>
            </w:pPr>
          </w:p>
        </w:tc>
        <w:tc>
          <w:tcPr>
            <w:tcW w:w="1247" w:type="dxa"/>
            <w:vAlign w:val="center"/>
          </w:tcPr>
          <w:p>
            <w:pPr>
              <w:snapToGrid w:val="0"/>
              <w:jc w:val="center"/>
              <w:rPr>
                <w:rFonts w:ascii="仿宋" w:hAnsi="仿宋" w:eastAsia="仿宋"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trPr>
        <w:tc>
          <w:tcPr>
            <w:tcW w:w="880" w:type="dxa"/>
            <w:vAlign w:val="center"/>
          </w:tcPr>
          <w:p>
            <w:pPr>
              <w:snapToGrid w:val="0"/>
              <w:jc w:val="center"/>
              <w:rPr>
                <w:rFonts w:ascii="仿宋" w:hAnsi="仿宋" w:eastAsia="仿宋" w:cs="宋体"/>
                <w:sz w:val="24"/>
              </w:rPr>
            </w:pPr>
          </w:p>
        </w:tc>
        <w:tc>
          <w:tcPr>
            <w:tcW w:w="1171" w:type="dxa"/>
            <w:vAlign w:val="center"/>
          </w:tcPr>
          <w:p>
            <w:pPr>
              <w:snapToGrid w:val="0"/>
              <w:jc w:val="center"/>
              <w:rPr>
                <w:rFonts w:ascii="仿宋" w:hAnsi="仿宋" w:eastAsia="仿宋" w:cs="宋体"/>
                <w:sz w:val="24"/>
              </w:rPr>
            </w:pPr>
          </w:p>
        </w:tc>
        <w:tc>
          <w:tcPr>
            <w:tcW w:w="1352" w:type="dxa"/>
            <w:vAlign w:val="center"/>
          </w:tcPr>
          <w:p>
            <w:pPr>
              <w:snapToGrid w:val="0"/>
              <w:jc w:val="center"/>
              <w:rPr>
                <w:rFonts w:ascii="仿宋" w:hAnsi="仿宋" w:eastAsia="仿宋" w:cs="宋体"/>
                <w:sz w:val="24"/>
              </w:rPr>
            </w:pPr>
          </w:p>
        </w:tc>
        <w:tc>
          <w:tcPr>
            <w:tcW w:w="1134" w:type="dxa"/>
            <w:vAlign w:val="center"/>
          </w:tcPr>
          <w:p>
            <w:pPr>
              <w:snapToGrid w:val="0"/>
              <w:jc w:val="center"/>
              <w:rPr>
                <w:rFonts w:ascii="仿宋" w:hAnsi="仿宋" w:eastAsia="仿宋" w:cs="宋体"/>
                <w:sz w:val="24"/>
              </w:rPr>
            </w:pPr>
          </w:p>
        </w:tc>
        <w:tc>
          <w:tcPr>
            <w:tcW w:w="1276" w:type="dxa"/>
            <w:vAlign w:val="center"/>
          </w:tcPr>
          <w:p>
            <w:pPr>
              <w:snapToGrid w:val="0"/>
              <w:jc w:val="center"/>
              <w:rPr>
                <w:rFonts w:ascii="仿宋" w:hAnsi="仿宋" w:eastAsia="仿宋" w:cs="宋体"/>
                <w:sz w:val="24"/>
              </w:rPr>
            </w:pPr>
          </w:p>
        </w:tc>
        <w:tc>
          <w:tcPr>
            <w:tcW w:w="1162" w:type="dxa"/>
            <w:vAlign w:val="center"/>
          </w:tcPr>
          <w:p>
            <w:pPr>
              <w:snapToGrid w:val="0"/>
              <w:jc w:val="center"/>
              <w:rPr>
                <w:rFonts w:ascii="仿宋" w:hAnsi="仿宋" w:eastAsia="仿宋" w:cs="宋体"/>
                <w:sz w:val="24"/>
              </w:rPr>
            </w:pPr>
          </w:p>
        </w:tc>
        <w:tc>
          <w:tcPr>
            <w:tcW w:w="1134" w:type="dxa"/>
            <w:vAlign w:val="center"/>
          </w:tcPr>
          <w:p>
            <w:pPr>
              <w:snapToGrid w:val="0"/>
              <w:jc w:val="center"/>
              <w:rPr>
                <w:rFonts w:ascii="仿宋" w:hAnsi="仿宋" w:eastAsia="仿宋" w:cs="宋体"/>
                <w:sz w:val="24"/>
              </w:rPr>
            </w:pPr>
          </w:p>
        </w:tc>
        <w:tc>
          <w:tcPr>
            <w:tcW w:w="1247" w:type="dxa"/>
            <w:vAlign w:val="center"/>
          </w:tcPr>
          <w:p>
            <w:pPr>
              <w:snapToGrid w:val="0"/>
              <w:jc w:val="center"/>
              <w:rPr>
                <w:rFonts w:ascii="仿宋" w:hAnsi="仿宋" w:eastAsia="仿宋"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trPr>
        <w:tc>
          <w:tcPr>
            <w:tcW w:w="880" w:type="dxa"/>
            <w:vAlign w:val="center"/>
          </w:tcPr>
          <w:p>
            <w:pPr>
              <w:snapToGrid w:val="0"/>
              <w:jc w:val="center"/>
              <w:rPr>
                <w:rFonts w:ascii="仿宋" w:hAnsi="仿宋" w:eastAsia="仿宋" w:cs="宋体"/>
                <w:sz w:val="24"/>
              </w:rPr>
            </w:pPr>
          </w:p>
        </w:tc>
        <w:tc>
          <w:tcPr>
            <w:tcW w:w="1171" w:type="dxa"/>
            <w:vAlign w:val="center"/>
          </w:tcPr>
          <w:p>
            <w:pPr>
              <w:snapToGrid w:val="0"/>
              <w:jc w:val="center"/>
              <w:rPr>
                <w:rFonts w:ascii="仿宋" w:hAnsi="仿宋" w:eastAsia="仿宋" w:cs="宋体"/>
                <w:sz w:val="24"/>
              </w:rPr>
            </w:pPr>
          </w:p>
        </w:tc>
        <w:tc>
          <w:tcPr>
            <w:tcW w:w="1352" w:type="dxa"/>
            <w:vAlign w:val="center"/>
          </w:tcPr>
          <w:p>
            <w:pPr>
              <w:snapToGrid w:val="0"/>
              <w:jc w:val="center"/>
              <w:rPr>
                <w:rFonts w:ascii="仿宋" w:hAnsi="仿宋" w:eastAsia="仿宋" w:cs="宋体"/>
                <w:sz w:val="24"/>
              </w:rPr>
            </w:pPr>
          </w:p>
        </w:tc>
        <w:tc>
          <w:tcPr>
            <w:tcW w:w="1134" w:type="dxa"/>
            <w:vAlign w:val="center"/>
          </w:tcPr>
          <w:p>
            <w:pPr>
              <w:snapToGrid w:val="0"/>
              <w:jc w:val="center"/>
              <w:rPr>
                <w:rFonts w:ascii="仿宋" w:hAnsi="仿宋" w:eastAsia="仿宋" w:cs="宋体"/>
                <w:sz w:val="24"/>
              </w:rPr>
            </w:pPr>
          </w:p>
        </w:tc>
        <w:tc>
          <w:tcPr>
            <w:tcW w:w="1276" w:type="dxa"/>
            <w:vAlign w:val="center"/>
          </w:tcPr>
          <w:p>
            <w:pPr>
              <w:snapToGrid w:val="0"/>
              <w:jc w:val="center"/>
              <w:rPr>
                <w:rFonts w:ascii="仿宋" w:hAnsi="仿宋" w:eastAsia="仿宋" w:cs="宋体"/>
                <w:sz w:val="24"/>
              </w:rPr>
            </w:pPr>
          </w:p>
        </w:tc>
        <w:tc>
          <w:tcPr>
            <w:tcW w:w="1162" w:type="dxa"/>
            <w:vAlign w:val="center"/>
          </w:tcPr>
          <w:p>
            <w:pPr>
              <w:snapToGrid w:val="0"/>
              <w:jc w:val="center"/>
              <w:rPr>
                <w:rFonts w:ascii="仿宋" w:hAnsi="仿宋" w:eastAsia="仿宋" w:cs="宋体"/>
                <w:sz w:val="24"/>
              </w:rPr>
            </w:pPr>
          </w:p>
        </w:tc>
        <w:tc>
          <w:tcPr>
            <w:tcW w:w="1134" w:type="dxa"/>
            <w:vAlign w:val="center"/>
          </w:tcPr>
          <w:p>
            <w:pPr>
              <w:snapToGrid w:val="0"/>
              <w:jc w:val="center"/>
              <w:rPr>
                <w:rFonts w:ascii="仿宋" w:hAnsi="仿宋" w:eastAsia="仿宋" w:cs="宋体"/>
                <w:sz w:val="24"/>
              </w:rPr>
            </w:pPr>
          </w:p>
        </w:tc>
        <w:tc>
          <w:tcPr>
            <w:tcW w:w="1247" w:type="dxa"/>
            <w:vAlign w:val="center"/>
          </w:tcPr>
          <w:p>
            <w:pPr>
              <w:snapToGrid w:val="0"/>
              <w:jc w:val="center"/>
              <w:rPr>
                <w:rFonts w:ascii="仿宋" w:hAnsi="仿宋" w:eastAsia="仿宋" w:cs="宋体"/>
                <w:sz w:val="24"/>
              </w:rPr>
            </w:pPr>
          </w:p>
        </w:tc>
      </w:tr>
    </w:tbl>
    <w:tbl>
      <w:tblPr>
        <w:tblStyle w:val="9"/>
        <w:tblpPr w:leftFromText="180" w:rightFromText="180" w:vertAnchor="page" w:horzAnchor="margin" w:tblpX="-147" w:tblpY="6256"/>
        <w:tblW w:w="93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9356" w:type="dxa"/>
            <w:vAlign w:val="center"/>
          </w:tcPr>
          <w:p>
            <w:pPr>
              <w:jc w:val="left"/>
              <w:rPr>
                <w:rFonts w:ascii="Times New Roman" w:hAnsi="Times New Roman"/>
                <w:b/>
              </w:rPr>
            </w:pPr>
            <w:r>
              <w:rPr>
                <w:rFonts w:ascii="黑体" w:hAnsi="黑体" w:eastAsia="黑体"/>
                <w:sz w:val="24"/>
                <w:szCs w:val="24"/>
              </w:rPr>
              <w:t>6</w:t>
            </w:r>
            <w:r>
              <w:rPr>
                <w:rFonts w:hint="eastAsia" w:ascii="黑体" w:hAnsi="黑体" w:eastAsia="黑体"/>
                <w:sz w:val="24"/>
                <w:szCs w:val="24"/>
              </w:rPr>
              <w:t>．其他业绩情况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73" w:hRule="atLeast"/>
        </w:trPr>
        <w:tc>
          <w:tcPr>
            <w:tcW w:w="9356" w:type="dxa"/>
            <w:vAlign w:val="center"/>
          </w:tcPr>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eastAsia" w:ascii="楷体" w:hAnsi="楷体" w:eastAsia="楷体"/>
                <w:sz w:val="24"/>
                <w:lang w:val="en-US" w:eastAsia="zh-CN"/>
              </w:rPr>
              <w:t>1.</w:t>
            </w:r>
            <w:r>
              <w:rPr>
                <w:rFonts w:hint="default" w:ascii="Times New Roman" w:hAnsi="Times New Roman" w:eastAsia="楷体" w:cs="Times New Roman"/>
                <w:sz w:val="24"/>
                <w:lang w:val="en-US" w:eastAsia="zh-CN"/>
              </w:rPr>
              <w:t>学生一作，本人通讯的论文 "PolarText：Single-stage Scene Text Detection with Polar Representation" 被IEEE EUC 2021（第19届IEEE国际嵌入式与普适计算大会，普适计算领域的重要学术会议）评选为唯一最佳论文奖。该讯息被学部官网转载，列入学院年终工作总结。</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2.一作论文 "基于特征融合金字塔网络的场景文字检测研究" 被中国计算机学会多媒体领域旗舰会议ChinaMM2021评为最佳墙报奖。</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3.长期担任计算机科学与技术学科秘书，全程参与了计算机学科评估、计算机学科专业认证、软件工程优势学科申报、</w:t>
            </w:r>
            <w:r>
              <w:rPr>
                <w:rFonts w:hint="eastAsia" w:ascii="Times New Roman" w:hAnsi="Times New Roman" w:eastAsia="楷体" w:cs="Times New Roman"/>
                <w:sz w:val="24"/>
                <w:lang w:val="en-US" w:eastAsia="zh-CN"/>
              </w:rPr>
              <w:t>计算机学科合格性评估、</w:t>
            </w:r>
            <w:r>
              <w:rPr>
                <w:rFonts w:hint="default" w:ascii="Times New Roman" w:hAnsi="Times New Roman" w:eastAsia="楷体" w:cs="Times New Roman"/>
                <w:sz w:val="24"/>
                <w:lang w:val="en-US" w:eastAsia="zh-CN"/>
              </w:rPr>
              <w:t>计算机学科江苏省重点专业申报。</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4.担任CCF-YOCSEF 南京学术委员会委员，CCF多媒体专委会委员，</w:t>
            </w:r>
            <w:r>
              <w:rPr>
                <w:rFonts w:hint="eastAsia" w:ascii="Times New Roman" w:hAnsi="Times New Roman" w:eastAsia="楷体" w:cs="Times New Roman"/>
                <w:sz w:val="24"/>
                <w:lang w:val="en-US" w:eastAsia="zh-CN"/>
              </w:rPr>
              <w:t>人工智能学会委员，</w:t>
            </w:r>
            <w:r>
              <w:rPr>
                <w:rFonts w:hint="default" w:ascii="Times New Roman" w:hAnsi="Times New Roman" w:eastAsia="楷体" w:cs="Times New Roman"/>
                <w:sz w:val="24"/>
                <w:lang w:val="en-US" w:eastAsia="zh-CN"/>
              </w:rPr>
              <w:t>江苏省计算机学会大数据专委会委员。组织了CCF-YOCSEF</w:t>
            </w:r>
            <w:r>
              <w:rPr>
                <w:rFonts w:hint="eastAsia" w:ascii="Times New Roman" w:hAnsi="Times New Roman" w:eastAsia="楷体" w:cs="Times New Roman"/>
                <w:sz w:val="24"/>
                <w:lang w:val="en-US" w:eastAsia="zh-CN"/>
              </w:rPr>
              <w:t>南京钟山论剑系列活动。</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eastAsia" w:ascii="Times New Roman" w:hAnsi="Times New Roman" w:eastAsia="楷体" w:cs="Times New Roman"/>
                <w:sz w:val="24"/>
                <w:lang w:val="en-US" w:eastAsia="zh-CN"/>
              </w:rPr>
              <w:t>5.</w:t>
            </w:r>
            <w:r>
              <w:rPr>
                <w:rFonts w:hint="default" w:ascii="Times New Roman" w:hAnsi="Times New Roman" w:eastAsia="楷体" w:cs="Times New Roman"/>
                <w:sz w:val="24"/>
                <w:lang w:val="en-US" w:eastAsia="zh-CN"/>
              </w:rPr>
              <w:t>担任HPCC2021(CCF-C)，CIKM2021(CCF-B)，ACPR2021，PIC2021， DSAA2020，ML4CS2020，PIC2020 与SECSOC2019等国际会议的程序主席。在ITIA国际会议上组织“AI Technologies in Computer Vision”session。</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eastAsia" w:ascii="Times New Roman" w:hAnsi="Times New Roman" w:eastAsia="楷体" w:cs="Times New Roman"/>
                <w:sz w:val="24"/>
                <w:lang w:val="en-US" w:eastAsia="zh-CN"/>
              </w:rPr>
              <w:t>6.</w:t>
            </w:r>
            <w:r>
              <w:rPr>
                <w:rFonts w:hint="default" w:ascii="Times New Roman" w:hAnsi="Times New Roman" w:eastAsia="楷体" w:cs="Times New Roman"/>
                <w:sz w:val="24"/>
                <w:lang w:val="en-US" w:eastAsia="zh-CN"/>
              </w:rPr>
              <w:t>获河海大学“大禹学者”第四层次资助。</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7.担任ACM multimedia，IEEE Transactions on Human-Machine Systems (SCI)</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IEEE Transactions on Emerging Topics in Computational Intelligence (SCI)</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IEEE Transactions on Intelligent Transportation Systems (SCI)</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IEEE Transactions on Cybernetics (SCI)</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IEEE Transactions on Industrial Informatics (SCI)</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IEEE Transactions on Computational Social Systems (SCI)</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ACM Transactions on Asian and Low-Resource Language Information Processing (SCI)</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ACM Transactions on Internet Technology (SCI)</w:t>
            </w:r>
          </w:p>
          <w:p>
            <w:pPr>
              <w:keepNext w:val="0"/>
              <w:keepLines w:val="0"/>
              <w:pageBreakBefore w:val="0"/>
              <w:widowControl w:val="0"/>
              <w:kinsoku/>
              <w:wordWrap/>
              <w:overflowPunct/>
              <w:topLinePunct w:val="0"/>
              <w:autoSpaceDE/>
              <w:autoSpaceDN/>
              <w:bidi w:val="0"/>
              <w:adjustRightInd/>
              <w:snapToGrid/>
              <w:spacing w:line="120" w:lineRule="auto"/>
              <w:textAlignment w:val="auto"/>
              <w:rPr>
                <w:rFonts w:hint="default" w:ascii="Times New Roman" w:hAnsi="Times New Roman" w:eastAsia="楷体" w:cs="Times New Roman"/>
                <w:sz w:val="24"/>
                <w:lang w:val="en-US" w:eastAsia="zh-CN"/>
              </w:rPr>
            </w:pPr>
            <w:r>
              <w:rPr>
                <w:rFonts w:hint="default" w:ascii="Times New Roman" w:hAnsi="Times New Roman" w:eastAsia="楷体" w:cs="Times New Roman"/>
                <w:sz w:val="24"/>
                <w:lang w:val="en-US" w:eastAsia="zh-CN"/>
              </w:rPr>
              <w:t>ACM Transactions on Multimedia Computing Communications and Applications (SCI)等重要会议与期刊审稿。</w:t>
            </w:r>
          </w:p>
          <w:p>
            <w:pPr>
              <w:pStyle w:val="7"/>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0"/>
              <w:jc w:val="both"/>
              <w:rPr>
                <w:rFonts w:hint="default" w:ascii="楷体" w:hAnsi="楷体" w:eastAsia="楷体"/>
                <w:sz w:val="24"/>
                <w:szCs w:val="24"/>
                <w:lang w:val="en-US" w:eastAsia="zh-CN"/>
              </w:rPr>
            </w:pPr>
          </w:p>
        </w:tc>
      </w:tr>
    </w:tbl>
    <w:p>
      <w:pPr>
        <w:outlineLvl w:val="0"/>
        <w:rPr>
          <w:rFonts w:ascii="宋体" w:hAnsi="宋体" w:eastAsia="宋体"/>
          <w:b/>
          <w:sz w:val="28"/>
        </w:rPr>
      </w:pPr>
    </w:p>
    <w:p>
      <w:pPr>
        <w:spacing w:line="360" w:lineRule="exact"/>
        <w:jc w:val="left"/>
        <w:outlineLvl w:val="0"/>
        <w:rPr>
          <w:b/>
          <w:sz w:val="28"/>
          <w:vertAlign w:val="baseline"/>
        </w:rPr>
      </w:pPr>
      <w:r>
        <w:rPr>
          <w:rFonts w:hint="eastAsia" w:ascii="宋体" w:hAnsi="宋体" w:eastAsia="宋体"/>
          <w:b/>
          <w:sz w:val="28"/>
        </w:rPr>
        <w:t>四</w:t>
      </w:r>
      <w:r>
        <w:rPr>
          <w:rFonts w:ascii="宋体" w:hAnsi="宋体" w:eastAsia="宋体"/>
          <w:b/>
          <w:sz w:val="28"/>
        </w:rPr>
        <w:t>、</w:t>
      </w:r>
      <w:r>
        <w:rPr>
          <w:rFonts w:hint="eastAsia" w:ascii="宋体" w:hAnsi="宋体" w:eastAsia="宋体"/>
          <w:b/>
          <w:sz w:val="28"/>
        </w:rPr>
        <w:t>聘任后拟开展的研究工作（包括研究背景、研究内容、预期成果等）</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pPr>
              <w:keepNext w:val="0"/>
              <w:keepLines w:val="0"/>
              <w:widowControl w:val="0"/>
              <w:numPr>
                <w:ilvl w:val="0"/>
                <w:numId w:val="0"/>
              </w:numPr>
              <w:suppressLineNumbers w:val="0"/>
              <w:snapToGrid w:val="0"/>
              <w:spacing w:before="0" w:beforeAutospacing="0" w:after="0" w:afterAutospacing="0" w:line="440" w:lineRule="exact"/>
              <w:ind w:leftChars="0" w:right="0" w:rightChars="0"/>
              <w:jc w:val="both"/>
              <w:rPr>
                <w:rFonts w:hint="eastAsia" w:ascii="楷体" w:hAnsi="楷体" w:eastAsia="楷体" w:cs="楷体"/>
                <w:b/>
                <w:kern w:val="2"/>
                <w:sz w:val="24"/>
                <w:szCs w:val="24"/>
                <w:lang w:val="en-US" w:eastAsia="zh-CN" w:bidi="ar"/>
              </w:rPr>
            </w:pPr>
            <w:r>
              <w:rPr>
                <w:rFonts w:hint="eastAsia" w:ascii="楷体" w:hAnsi="楷体" w:eastAsia="楷体" w:cs="楷体"/>
                <w:b/>
                <w:kern w:val="2"/>
                <w:sz w:val="24"/>
                <w:szCs w:val="24"/>
                <w:lang w:val="en-US" w:eastAsia="zh-CN" w:bidi="ar"/>
              </w:rPr>
              <w:t>4.1 研究背景</w:t>
            </w:r>
          </w:p>
          <w:p>
            <w:pPr>
              <w:keepNext w:val="0"/>
              <w:keepLines w:val="0"/>
              <w:widowControl w:val="0"/>
              <w:suppressLineNumbers w:val="0"/>
              <w:snapToGrid w:val="0"/>
              <w:spacing w:before="0" w:beforeAutospacing="0" w:after="0" w:afterAutospacing="0" w:line="440" w:lineRule="exact"/>
              <w:ind w:left="0" w:right="0" w:firstLine="458" w:firstLineChars="194"/>
              <w:jc w:val="both"/>
              <w:rPr>
                <w:rFonts w:hint="eastAsia"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水是生命之源、生产之要、生态之基。然而，随着工业化、城镇化等进程不断加快，我国水污染事件频发，水环境保护形势严峻。根据2018年《中国生态环境状况公报》，我国地表水国考断面中劣V类比例高达6.7%，处置生态环境行政处罚案件18.6万余起，污染水体环境刑事案件1.4万余起。水污染事件严重影响了生态环境和社会经济用水安全</w:t>
            </w:r>
            <w:r>
              <w:rPr>
                <w:rFonts w:hint="default" w:ascii="Times New Roman" w:hAnsi="Times New Roman" w:eastAsia="楷体" w:cs="Times New Roman"/>
                <w:kern w:val="2"/>
                <w:sz w:val="24"/>
                <w:szCs w:val="24"/>
                <w:vertAlign w:val="superscript"/>
                <w:lang w:val="en-US" w:eastAsia="zh-CN" w:bidi="ar"/>
              </w:rPr>
              <w:t>[1]</w:t>
            </w:r>
            <w:r>
              <w:rPr>
                <w:rFonts w:hint="eastAsia" w:ascii="楷体" w:hAnsi="楷体" w:eastAsia="楷体" w:cs="楷体"/>
                <w:kern w:val="2"/>
                <w:sz w:val="24"/>
                <w:szCs w:val="24"/>
                <w:lang w:val="en-US" w:eastAsia="zh-CN" w:bidi="ar"/>
              </w:rPr>
              <w:t>。典型案例有2007年太湖蓝藻污染事件，2014年南京“自来水含抗生素”事件，2018年洪泽湖</w:t>
            </w:r>
            <w:r>
              <w:rPr>
                <w:rFonts w:hint="default" w:ascii="楷体" w:hAnsi="楷体" w:eastAsia="楷体" w:cs="楷体"/>
                <w:kern w:val="2"/>
                <w:sz w:val="24"/>
                <w:szCs w:val="24"/>
                <w:lang w:val="en-US" w:eastAsia="zh-CN" w:bidi="ar"/>
              </w:rPr>
              <w:t>鱼蟹死亡事件</w:t>
            </w:r>
            <w:r>
              <w:rPr>
                <w:rFonts w:hint="eastAsia" w:ascii="楷体" w:hAnsi="楷体" w:eastAsia="楷体" w:cs="楷体"/>
                <w:kern w:val="2"/>
                <w:sz w:val="24"/>
                <w:szCs w:val="24"/>
                <w:lang w:val="en-US" w:eastAsia="zh-CN" w:bidi="ar"/>
              </w:rPr>
              <w:t>等。类似水污染事件极大地破坏了流域生态环境，严重威胁到流域居民的用水安全和生命健康，严重影响了经济社会发展。</w:t>
            </w:r>
          </w:p>
          <w:p>
            <w:pPr>
              <w:keepNext w:val="0"/>
              <w:keepLines w:val="0"/>
              <w:widowControl w:val="0"/>
              <w:suppressLineNumbers w:val="0"/>
              <w:snapToGrid w:val="0"/>
              <w:spacing w:before="0" w:beforeAutospacing="0" w:after="0" w:afterAutospacing="0" w:line="440" w:lineRule="exact"/>
              <w:ind w:left="0" w:right="0" w:firstLine="458" w:firstLineChars="194"/>
              <w:jc w:val="both"/>
              <w:rPr>
                <w:rFonts w:hint="default"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面对以上严峻事实，水利部鄂竟平部长提出“强监管是新时代水利改革发展的主调”。2019年2月，水利部发布《关于进一步做好突发水污染事件应对工作的通知》，明确要做好突发水污染事件的应急处理工作，深入开展水污染环境预警监控、应急管理和风险评价。图1展示了水污染事件发生及治理过程示意图，我国水污染事件受自然环境演变和社会系列活动的双重影响，对其做到科学、准确、快速的数据</w:t>
            </w:r>
            <w:r>
              <w:rPr>
                <w:rFonts w:hint="eastAsia" w:ascii="楷体" w:hAnsi="楷体" w:eastAsia="楷体" w:cs="楷体"/>
                <w:b/>
                <w:bCs/>
                <w:kern w:val="2"/>
                <w:sz w:val="24"/>
                <w:szCs w:val="24"/>
                <w:lang w:val="en-US" w:eastAsia="zh-CN" w:bidi="ar"/>
              </w:rPr>
              <w:t>分析</w:t>
            </w:r>
            <w:r>
              <w:rPr>
                <w:rFonts w:hint="eastAsia" w:ascii="楷体" w:hAnsi="楷体" w:eastAsia="楷体" w:cs="楷体"/>
                <w:kern w:val="2"/>
                <w:sz w:val="24"/>
                <w:szCs w:val="24"/>
                <w:lang w:val="en-US" w:eastAsia="zh-CN" w:bidi="ar"/>
              </w:rPr>
              <w:t>、污染</w:t>
            </w:r>
            <w:r>
              <w:rPr>
                <w:rFonts w:hint="eastAsia" w:ascii="楷体" w:hAnsi="楷体" w:eastAsia="楷体" w:cs="楷体"/>
                <w:b/>
                <w:bCs/>
                <w:kern w:val="2"/>
                <w:sz w:val="24"/>
                <w:szCs w:val="24"/>
                <w:lang w:val="en-US" w:eastAsia="zh-CN" w:bidi="ar"/>
              </w:rPr>
              <w:t>溯源</w:t>
            </w:r>
            <w:r>
              <w:rPr>
                <w:rFonts w:hint="eastAsia" w:ascii="楷体" w:hAnsi="楷体" w:eastAsia="楷体" w:cs="楷体"/>
                <w:kern w:val="2"/>
                <w:sz w:val="24"/>
                <w:szCs w:val="24"/>
                <w:lang w:val="en-US" w:eastAsia="zh-CN" w:bidi="ar"/>
              </w:rPr>
              <w:t>和优化</w:t>
            </w:r>
            <w:r>
              <w:rPr>
                <w:rFonts w:hint="eastAsia" w:ascii="楷体" w:hAnsi="楷体" w:eastAsia="楷体" w:cs="楷体"/>
                <w:b/>
                <w:bCs/>
                <w:kern w:val="2"/>
                <w:sz w:val="24"/>
                <w:szCs w:val="24"/>
                <w:lang w:val="en-US" w:eastAsia="zh-CN" w:bidi="ar"/>
              </w:rPr>
              <w:t>调度</w:t>
            </w:r>
            <w:r>
              <w:rPr>
                <w:rFonts w:hint="eastAsia" w:ascii="楷体" w:hAnsi="楷体" w:eastAsia="楷体" w:cs="楷体"/>
                <w:kern w:val="2"/>
                <w:sz w:val="24"/>
                <w:szCs w:val="24"/>
                <w:lang w:val="en-US" w:eastAsia="zh-CN" w:bidi="ar"/>
              </w:rPr>
              <w:t>，防止污染事件的发生、进展和恶化至关重要。</w:t>
            </w:r>
          </w:p>
          <w:p>
            <w:pPr>
              <w:keepNext w:val="0"/>
              <w:keepLines w:val="0"/>
              <w:widowControl w:val="0"/>
              <w:suppressLineNumbers w:val="0"/>
              <w:snapToGrid w:val="0"/>
              <w:spacing w:before="0" w:beforeAutospacing="0" w:after="0" w:afterAutospacing="0" w:line="440" w:lineRule="exact"/>
              <w:ind w:left="0" w:right="0" w:firstLine="458" w:firstLineChars="194"/>
              <w:jc w:val="both"/>
              <w:rPr>
                <w:rFonts w:hint="default"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但目前广泛存在“头痛医头，脚疼医脚”的现象。为了满足《</w:t>
            </w:r>
            <w:r>
              <w:rPr>
                <w:rFonts w:hint="eastAsia" w:ascii="楷体" w:hAnsi="楷体" w:eastAsia="楷体" w:cs="楷体"/>
                <w:kern w:val="2"/>
                <w:sz w:val="24"/>
                <w:szCs w:val="24"/>
                <w:lang w:val="en-US" w:eastAsia="zh-CN" w:bidi="ar"/>
              </w:rPr>
              <w:fldChar w:fldCharType="begin"/>
            </w:r>
            <w:r>
              <w:rPr>
                <w:rFonts w:hint="eastAsia" w:ascii="楷体" w:hAnsi="楷体" w:eastAsia="楷体" w:cs="楷体"/>
                <w:kern w:val="2"/>
                <w:sz w:val="24"/>
                <w:szCs w:val="24"/>
                <w:lang w:val="en-US" w:eastAsia="zh-CN" w:bidi="ar"/>
              </w:rPr>
              <w:instrText xml:space="preserve"> HYPERLINK "http://www.h2o-china.com/news/search?stype=title&amp;schv=%E6%B0%B4%E6%B1%A1%E6%9F%93" </w:instrText>
            </w:r>
            <w:r>
              <w:rPr>
                <w:rFonts w:hint="eastAsia" w:ascii="楷体" w:hAnsi="楷体" w:eastAsia="楷体" w:cs="楷体"/>
                <w:kern w:val="2"/>
                <w:sz w:val="24"/>
                <w:szCs w:val="24"/>
                <w:lang w:val="en-US" w:eastAsia="zh-CN" w:bidi="ar"/>
              </w:rPr>
              <w:fldChar w:fldCharType="separate"/>
            </w:r>
            <w:r>
              <w:rPr>
                <w:rFonts w:hint="eastAsia" w:ascii="楷体" w:hAnsi="楷体" w:eastAsia="楷体" w:cs="楷体"/>
                <w:kern w:val="2"/>
                <w:sz w:val="24"/>
                <w:szCs w:val="24"/>
                <w:lang w:val="en-US" w:eastAsia="zh-CN" w:bidi="ar"/>
              </w:rPr>
              <w:t>水污染</w:t>
            </w:r>
            <w:r>
              <w:rPr>
                <w:rFonts w:hint="eastAsia" w:ascii="楷体" w:hAnsi="楷体" w:eastAsia="楷体" w:cs="楷体"/>
                <w:kern w:val="2"/>
                <w:sz w:val="24"/>
                <w:szCs w:val="24"/>
                <w:lang w:val="en-US" w:eastAsia="zh-CN" w:bidi="ar"/>
              </w:rPr>
              <w:fldChar w:fldCharType="end"/>
            </w:r>
            <w:r>
              <w:rPr>
                <w:rFonts w:hint="eastAsia" w:ascii="楷体" w:hAnsi="楷体" w:eastAsia="楷体" w:cs="楷体"/>
                <w:kern w:val="2"/>
                <w:sz w:val="24"/>
                <w:szCs w:val="24"/>
                <w:lang w:val="en-US" w:eastAsia="zh-CN" w:bidi="ar"/>
              </w:rPr>
              <w:t>防治计划》提出的2020年水环境治理大考指标，体量大、投入高的水环境治理项目在2019年纷至沓来，投资额在20亿以上的项目共计22个，总投资额累计约1131亿。我国水环境治理临渴掘井的现象，表明现阶段仍缺乏系统、整合的污染管理决策，亟需水利、环境、计算机等多学科紧密配合，对以水污染事件为代表的水环境问题实行综合治理。</w:t>
            </w:r>
          </w:p>
          <w:p>
            <w:pPr>
              <w:keepNext w:val="0"/>
              <w:keepLines w:val="0"/>
              <w:widowControl w:val="0"/>
              <w:suppressLineNumbers w:val="0"/>
              <w:snapToGrid w:val="0"/>
              <w:spacing w:before="0" w:beforeAutospacing="0" w:after="0" w:afterAutospacing="0" w:line="440" w:lineRule="exact"/>
              <w:ind w:right="0" w:firstLine="1764" w:firstLineChars="900"/>
              <w:jc w:val="both"/>
              <w:rPr>
                <w:rFonts w:hint="default" w:ascii="楷体" w:hAnsi="楷体" w:eastAsia="楷体" w:cs="楷体"/>
                <w:kern w:val="2"/>
                <w:sz w:val="22"/>
                <w:szCs w:val="22"/>
                <w:lang w:val="en-US" w:eastAsia="zh-CN" w:bidi="ar"/>
              </w:rPr>
            </w:pPr>
            <w:r>
              <w:rPr>
                <w:sz w:val="20"/>
                <w:szCs w:val="20"/>
              </w:rPr>
              <w:drawing>
                <wp:anchor distT="0" distB="0" distL="114300" distR="114300" simplePos="0" relativeHeight="251659264" behindDoc="0" locked="0" layoutInCell="1" allowOverlap="1">
                  <wp:simplePos x="0" y="0"/>
                  <wp:positionH relativeFrom="column">
                    <wp:posOffset>349885</wp:posOffset>
                  </wp:positionH>
                  <wp:positionV relativeFrom="paragraph">
                    <wp:posOffset>88265</wp:posOffset>
                  </wp:positionV>
                  <wp:extent cx="4399280" cy="2955290"/>
                  <wp:effectExtent l="0" t="0" r="5080" b="1270"/>
                  <wp:wrapTopAndBottom/>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
                          <a:stretch>
                            <a:fillRect/>
                          </a:stretch>
                        </pic:blipFill>
                        <pic:spPr>
                          <a:xfrm>
                            <a:off x="0" y="0"/>
                            <a:ext cx="4399280" cy="2955290"/>
                          </a:xfrm>
                          <a:prstGeom prst="rect">
                            <a:avLst/>
                          </a:prstGeom>
                          <a:noFill/>
                          <a:ln>
                            <a:noFill/>
                          </a:ln>
                        </pic:spPr>
                      </pic:pic>
                    </a:graphicData>
                  </a:graphic>
                </wp:anchor>
              </w:drawing>
            </w:r>
            <w:r>
              <w:rPr>
                <w:rFonts w:hint="eastAsia" w:ascii="楷体" w:hAnsi="楷体" w:eastAsia="楷体" w:cs="楷体"/>
                <w:kern w:val="2"/>
                <w:sz w:val="22"/>
                <w:szCs w:val="22"/>
                <w:lang w:val="en-US" w:eastAsia="zh-CN" w:bidi="ar"/>
              </w:rPr>
              <w:t>图1. 水污染事件发生及治理过程示意图</w:t>
            </w:r>
          </w:p>
          <w:p>
            <w:pPr>
              <w:keepNext w:val="0"/>
              <w:keepLines w:val="0"/>
              <w:widowControl w:val="0"/>
              <w:suppressLineNumbers w:val="0"/>
              <w:snapToGrid w:val="0"/>
              <w:spacing w:before="0" w:beforeAutospacing="0" w:after="0" w:afterAutospacing="0" w:line="440" w:lineRule="exact"/>
              <w:ind w:right="0"/>
              <w:jc w:val="both"/>
              <w:rPr>
                <w:rFonts w:hint="eastAsia" w:ascii="楷体" w:hAnsi="楷体" w:eastAsia="楷体" w:cs="楷体"/>
                <w:kern w:val="2"/>
                <w:sz w:val="24"/>
                <w:szCs w:val="24"/>
                <w:lang w:val="en-US" w:eastAsia="zh-CN" w:bidi="ar"/>
              </w:rPr>
            </w:pPr>
          </w:p>
          <w:p>
            <w:pPr>
              <w:keepNext w:val="0"/>
              <w:keepLines w:val="0"/>
              <w:widowControl w:val="0"/>
              <w:suppressLineNumbers w:val="0"/>
              <w:snapToGrid w:val="0"/>
              <w:spacing w:before="0" w:beforeAutospacing="0" w:after="0" w:afterAutospacing="0" w:line="440" w:lineRule="exact"/>
              <w:ind w:right="0" w:firstLine="472" w:firstLineChars="200"/>
              <w:jc w:val="both"/>
              <w:rPr>
                <w:rFonts w:hint="eastAsia"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传统以经验决策、事后总结为主的水利工作模式已无法满足当前水污染治理</w:t>
            </w:r>
          </w:p>
          <w:p>
            <w:pPr>
              <w:keepNext w:val="0"/>
              <w:keepLines w:val="0"/>
              <w:widowControl w:val="0"/>
              <w:suppressLineNumbers w:val="0"/>
              <w:snapToGrid w:val="0"/>
              <w:spacing w:before="0" w:beforeAutospacing="0" w:after="0" w:afterAutospacing="0" w:line="440" w:lineRule="exact"/>
              <w:ind w:right="0"/>
              <w:jc w:val="both"/>
              <w:rPr>
                <w:rFonts w:hint="eastAsia"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工作改革发展需要，二者之间甚至产生不可调和的矛盾，只有采用新一代信息技术，尤其是领域智能和大数据技术，能为有效解决这一矛盾提供了新思路。以智能化为代表的新一代信息技术变革，正深刻改变着政府社会管理和公共服务的方式。目前，智慧水利在建设全要素动态感知的水利监测体系</w:t>
            </w:r>
            <w:r>
              <w:rPr>
                <w:rFonts w:hint="default" w:ascii="Times New Roman" w:hAnsi="Times New Roman" w:eastAsia="楷体" w:cs="Times New Roman"/>
                <w:kern w:val="2"/>
                <w:sz w:val="24"/>
                <w:szCs w:val="24"/>
                <w:vertAlign w:val="superscript"/>
                <w:lang w:val="en-US" w:eastAsia="zh-CN" w:bidi="ar"/>
              </w:rPr>
              <w:t>[2]</w:t>
            </w:r>
            <w:r>
              <w:rPr>
                <w:rFonts w:hint="eastAsia" w:ascii="楷体" w:hAnsi="楷体" w:eastAsia="楷体" w:cs="楷体"/>
                <w:kern w:val="2"/>
                <w:sz w:val="24"/>
                <w:szCs w:val="24"/>
                <w:lang w:val="en-US" w:eastAsia="zh-CN" w:bidi="ar"/>
              </w:rPr>
              <w:t>、高速泛在的水利信息化网络、高度集成的水利大数据信息中心等物理建设方面取得较大进展，但水污染事件的智能化、综合化治理仍然处于探索中。过去数年间，结合业务应用的领域智能算法研究如火如荼，研究者针对以水污染事件为代表的水利数据</w:t>
            </w:r>
            <w:r>
              <w:rPr>
                <w:rFonts w:hint="eastAsia" w:ascii="楷体" w:hAnsi="楷体" w:eastAsia="楷体" w:cs="楷体"/>
                <w:b/>
                <w:bCs/>
                <w:kern w:val="2"/>
                <w:sz w:val="24"/>
                <w:szCs w:val="24"/>
                <w:lang w:val="en-US" w:eastAsia="zh-CN" w:bidi="ar"/>
              </w:rPr>
              <w:t>分</w:t>
            </w:r>
            <w:r>
              <w:rPr>
                <w:rFonts w:hint="eastAsia" w:ascii="楷体" w:hAnsi="楷体" w:eastAsia="楷体" w:cs="楷体"/>
                <w:kern w:val="2"/>
                <w:sz w:val="24"/>
                <w:szCs w:val="24"/>
                <w:lang w:val="en-US" w:eastAsia="zh-CN" w:bidi="ar"/>
              </w:rPr>
              <w:t>析、污染溯源和优化调度环节，提出了许多具有代表性的算法，力求提升治理业务的自动化与精细化水平</w:t>
            </w:r>
            <w:r>
              <w:rPr>
                <w:rFonts w:hint="default" w:ascii="Times New Roman" w:hAnsi="Times New Roman" w:eastAsia="楷体" w:cs="Times New Roman"/>
                <w:kern w:val="2"/>
                <w:sz w:val="24"/>
                <w:szCs w:val="24"/>
                <w:vertAlign w:val="superscript"/>
                <w:lang w:val="en-US" w:eastAsia="zh-CN" w:bidi="ar"/>
              </w:rPr>
              <w:t>[3-4]</w:t>
            </w:r>
            <w:r>
              <w:rPr>
                <w:rFonts w:hint="eastAsia" w:ascii="楷体" w:hAnsi="楷体" w:eastAsia="楷体" w:cs="楷体"/>
                <w:kern w:val="2"/>
                <w:sz w:val="24"/>
                <w:szCs w:val="24"/>
                <w:lang w:val="en-US" w:eastAsia="zh-CN" w:bidi="ar"/>
              </w:rPr>
              <w:t>。</w:t>
            </w:r>
          </w:p>
          <w:p>
            <w:pPr>
              <w:keepNext w:val="0"/>
              <w:keepLines w:val="0"/>
              <w:widowControl w:val="0"/>
              <w:suppressLineNumbers w:val="0"/>
              <w:snapToGrid w:val="0"/>
              <w:spacing w:before="0" w:beforeAutospacing="0" w:after="0" w:afterAutospacing="0" w:line="440" w:lineRule="exact"/>
              <w:ind w:right="0" w:firstLine="472" w:firstLineChars="200"/>
              <w:jc w:val="both"/>
              <w:rPr>
                <w:rFonts w:hint="eastAsia"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在数据</w:t>
            </w:r>
            <w:r>
              <w:rPr>
                <w:rFonts w:hint="eastAsia" w:ascii="楷体" w:hAnsi="楷体" w:eastAsia="楷体" w:cs="楷体"/>
                <w:b/>
                <w:bCs/>
                <w:kern w:val="2"/>
                <w:sz w:val="24"/>
                <w:szCs w:val="24"/>
                <w:lang w:val="en-US" w:eastAsia="zh-CN" w:bidi="ar"/>
              </w:rPr>
              <w:t>分析</w:t>
            </w:r>
            <w:r>
              <w:rPr>
                <w:rFonts w:hint="eastAsia" w:ascii="楷体" w:hAnsi="楷体" w:eastAsia="楷体" w:cs="楷体"/>
                <w:kern w:val="2"/>
                <w:sz w:val="24"/>
                <w:szCs w:val="24"/>
                <w:lang w:val="en-US" w:eastAsia="zh-CN" w:bidi="ar"/>
              </w:rPr>
              <w:t>环节，</w:t>
            </w:r>
            <w:r>
              <w:rPr>
                <w:rFonts w:hint="eastAsia" w:ascii="楷体" w:hAnsi="楷体" w:eastAsia="楷体" w:cs="楷体"/>
                <w:kern w:val="2"/>
                <w:sz w:val="24"/>
                <w:szCs w:val="21"/>
                <w:lang w:val="en-US" w:eastAsia="zh-CN" w:bidi="ar"/>
              </w:rPr>
              <w:t>水污染事件影响因素多，数据类型多，包含气象、水文、水环境、污染源等；伴随水环境治理工程建设和河道污染分布情况逐年变化，河道分析环境变化快；由于环境变化快，积累下的可信数据样本量小，业务知识沉淀难。面对上述挑战，研究者利用智能</w:t>
            </w:r>
            <w:r>
              <w:rPr>
                <w:rFonts w:hint="eastAsia" w:ascii="楷体" w:hAnsi="楷体" w:eastAsia="楷体" w:cs="楷体"/>
                <w:kern w:val="2"/>
                <w:sz w:val="24"/>
                <w:szCs w:val="24"/>
                <w:lang w:val="en-US" w:eastAsia="zh-CN" w:bidi="ar"/>
              </w:rPr>
              <w:t>技术处理多源多模态数据信息，</w:t>
            </w:r>
            <w:r>
              <w:rPr>
                <w:rFonts w:hint="eastAsia" w:ascii="楷体" w:hAnsi="楷体" w:eastAsia="楷体" w:cs="楷体"/>
                <w:kern w:val="2"/>
                <w:sz w:val="24"/>
                <w:szCs w:val="21"/>
                <w:lang w:val="en-US" w:eastAsia="zh-CN" w:bidi="ar"/>
              </w:rPr>
              <w:t>挖掘数据蕴涵着的演变规律和多因素关联关系</w:t>
            </w:r>
            <w:r>
              <w:rPr>
                <w:rFonts w:hint="default" w:ascii="Times New Roman" w:hAnsi="Times New Roman" w:eastAsia="楷体" w:cs="Times New Roman"/>
                <w:kern w:val="2"/>
                <w:sz w:val="24"/>
                <w:szCs w:val="24"/>
                <w:vertAlign w:val="superscript"/>
                <w:lang w:val="en-US" w:eastAsia="zh-CN" w:bidi="ar"/>
              </w:rPr>
              <w:t>[5-7]</w:t>
            </w:r>
            <w:r>
              <w:rPr>
                <w:rFonts w:hint="eastAsia" w:ascii="楷体" w:hAnsi="楷体" w:eastAsia="楷体" w:cs="楷体"/>
                <w:kern w:val="2"/>
                <w:sz w:val="24"/>
                <w:szCs w:val="21"/>
                <w:lang w:val="en-US" w:eastAsia="zh-CN" w:bidi="ar"/>
              </w:rPr>
              <w:t>。但</w:t>
            </w:r>
            <w:r>
              <w:rPr>
                <w:rFonts w:hint="eastAsia" w:ascii="楷体" w:hAnsi="楷体" w:eastAsia="楷体" w:cs="楷体"/>
                <w:kern w:val="2"/>
                <w:sz w:val="24"/>
                <w:szCs w:val="24"/>
                <w:lang w:val="en-US" w:eastAsia="zh-CN" w:bidi="ar"/>
              </w:rPr>
              <w:t>现有研究集中于传统的统计数据分析或机器学习技术的应用，未能结合水利领域业务的鲜明特点，</w:t>
            </w:r>
            <w:r>
              <w:rPr>
                <w:rFonts w:hint="default" w:ascii="楷体" w:hAnsi="楷体" w:eastAsia="楷体" w:cs="楷体"/>
                <w:kern w:val="2"/>
                <w:sz w:val="24"/>
                <w:szCs w:val="24"/>
                <w:lang w:val="en-US" w:eastAsia="zh-CN" w:bidi="ar"/>
              </w:rPr>
              <w:t>从算法本身角度</w:t>
            </w:r>
            <w:r>
              <w:rPr>
                <w:rFonts w:hint="eastAsia" w:ascii="楷体" w:hAnsi="楷体" w:eastAsia="楷体" w:cs="楷体"/>
                <w:kern w:val="2"/>
                <w:sz w:val="24"/>
                <w:szCs w:val="24"/>
                <w:lang w:val="en-US" w:eastAsia="zh-CN" w:bidi="ar"/>
              </w:rPr>
              <w:t>，</w:t>
            </w:r>
            <w:r>
              <w:rPr>
                <w:rFonts w:hint="default" w:ascii="楷体" w:hAnsi="楷体" w:eastAsia="楷体" w:cs="楷体"/>
                <w:kern w:val="2"/>
                <w:sz w:val="24"/>
                <w:szCs w:val="24"/>
                <w:lang w:val="en-US" w:eastAsia="zh-CN" w:bidi="ar"/>
              </w:rPr>
              <w:t>开发适用于水利数据的数据分析方法</w:t>
            </w:r>
            <w:r>
              <w:rPr>
                <w:rFonts w:hint="eastAsia" w:ascii="楷体" w:hAnsi="楷体" w:eastAsia="楷体" w:cs="楷体"/>
                <w:kern w:val="2"/>
                <w:sz w:val="24"/>
                <w:szCs w:val="24"/>
                <w:lang w:val="en-US" w:eastAsia="zh-CN" w:bidi="ar"/>
              </w:rPr>
              <w:t>，准确认知水利事件、管理行为和发生现象。</w:t>
            </w:r>
          </w:p>
          <w:p>
            <w:pPr>
              <w:keepNext w:val="0"/>
              <w:keepLines w:val="0"/>
              <w:widowControl w:val="0"/>
              <w:suppressLineNumbers w:val="0"/>
              <w:snapToGrid w:val="0"/>
              <w:spacing w:before="0" w:beforeAutospacing="0" w:after="0" w:afterAutospacing="0" w:line="440" w:lineRule="exact"/>
              <w:ind w:right="0" w:firstLine="472" w:firstLineChars="200"/>
              <w:jc w:val="both"/>
              <w:rPr>
                <w:rFonts w:hint="default"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在污染</w:t>
            </w:r>
            <w:r>
              <w:rPr>
                <w:rFonts w:hint="eastAsia" w:ascii="楷体" w:hAnsi="楷体" w:eastAsia="楷体" w:cs="楷体"/>
                <w:b/>
                <w:bCs/>
                <w:kern w:val="2"/>
                <w:sz w:val="24"/>
                <w:szCs w:val="24"/>
                <w:lang w:val="en-US" w:eastAsia="zh-CN" w:bidi="ar"/>
              </w:rPr>
              <w:t>溯源</w:t>
            </w:r>
            <w:r>
              <w:rPr>
                <w:rFonts w:hint="eastAsia" w:ascii="楷体" w:hAnsi="楷体" w:eastAsia="楷体" w:cs="楷体"/>
                <w:kern w:val="2"/>
                <w:sz w:val="24"/>
                <w:szCs w:val="24"/>
                <w:lang w:val="en-US" w:eastAsia="zh-CN" w:bidi="ar"/>
              </w:rPr>
              <w:t>环节，污染源</w:t>
            </w:r>
            <w:r>
              <w:rPr>
                <w:rFonts w:hint="eastAsia" w:ascii="楷体" w:hAnsi="楷体" w:eastAsia="楷体" w:cs="楷体"/>
                <w:kern w:val="2"/>
                <w:sz w:val="24"/>
                <w:szCs w:val="21"/>
                <w:lang w:val="en-US" w:eastAsia="zh-CN" w:bidi="ar"/>
              </w:rPr>
              <w:t>具有不确定性，包括释</w:t>
            </w:r>
            <w:r>
              <w:rPr>
                <w:rFonts w:hint="eastAsia" w:ascii="楷体" w:hAnsi="楷体" w:eastAsia="楷体" w:cs="楷体"/>
                <w:kern w:val="2"/>
                <w:sz w:val="24"/>
                <w:szCs w:val="24"/>
                <w:lang w:val="en-US" w:eastAsia="zh-CN" w:bidi="ar"/>
              </w:rPr>
              <w:t>放的污染物类型、数量、危害方式和环境破坏能力；通常情况下，污染发生</w:t>
            </w:r>
            <w:r>
              <w:rPr>
                <w:rFonts w:hint="eastAsia" w:ascii="楷体" w:hAnsi="楷体" w:eastAsia="楷体" w:cs="楷体"/>
                <w:kern w:val="2"/>
                <w:sz w:val="24"/>
                <w:szCs w:val="21"/>
                <w:lang w:val="en-US" w:eastAsia="zh-CN" w:bidi="ar"/>
              </w:rPr>
              <w:t>的持续时间短，为发生时间和地点的推算带来了困难；污染物在水力因素作用下随流输移，造成事故现场的不断变化，出现多污染区域，进一步加剧了源头推算</w:t>
            </w:r>
            <w:r>
              <w:rPr>
                <w:rFonts w:hint="eastAsia" w:ascii="楷体" w:hAnsi="楷体" w:eastAsia="楷体" w:cs="楷体"/>
                <w:kern w:val="2"/>
                <w:sz w:val="24"/>
                <w:szCs w:val="24"/>
                <w:lang w:val="en-US" w:eastAsia="zh-CN" w:bidi="ar"/>
              </w:rPr>
              <w:t>的复杂性。面对上述挑战，研究者通过构建河道水流水质耦合模拟模型等物理模型</w:t>
            </w:r>
            <w:r>
              <w:rPr>
                <w:rFonts w:hint="default" w:ascii="Times New Roman" w:hAnsi="Times New Roman" w:eastAsia="楷体" w:cs="Times New Roman"/>
                <w:kern w:val="2"/>
                <w:sz w:val="24"/>
                <w:szCs w:val="24"/>
                <w:vertAlign w:val="superscript"/>
                <w:lang w:val="en-US" w:eastAsia="zh-CN" w:bidi="ar"/>
              </w:rPr>
              <w:t>[8-11]</w:t>
            </w:r>
            <w:r>
              <w:rPr>
                <w:rFonts w:hint="eastAsia" w:ascii="楷体" w:hAnsi="楷体" w:eastAsia="楷体" w:cs="楷体"/>
                <w:kern w:val="2"/>
                <w:sz w:val="24"/>
                <w:szCs w:val="24"/>
                <w:lang w:val="en-US" w:eastAsia="zh-CN" w:bidi="ar"/>
              </w:rPr>
              <w:t>，或以概率建模思想为基础的智能模型</w:t>
            </w:r>
            <w:r>
              <w:rPr>
                <w:rFonts w:hint="default" w:ascii="Times New Roman" w:hAnsi="Times New Roman" w:eastAsia="楷体" w:cs="Times New Roman"/>
                <w:kern w:val="2"/>
                <w:sz w:val="24"/>
                <w:szCs w:val="24"/>
                <w:vertAlign w:val="superscript"/>
                <w:lang w:val="en-US" w:eastAsia="zh-CN" w:bidi="ar"/>
              </w:rPr>
              <w:t>[12-14]</w:t>
            </w:r>
            <w:r>
              <w:rPr>
                <w:rFonts w:hint="eastAsia" w:ascii="楷体" w:hAnsi="楷体" w:eastAsia="楷体" w:cs="楷体"/>
                <w:kern w:val="2"/>
                <w:sz w:val="24"/>
                <w:szCs w:val="24"/>
                <w:lang w:val="en-US" w:eastAsia="zh-CN" w:bidi="ar"/>
              </w:rPr>
              <w:t>，提升追溯结果的准确性和可信度。但现有研究忽略了两类方法的有机结合，即物理模型蕴含的固化专家知识可提升智能模型的可解释性，智能模型的数值概率推理能提升物理模型的适用性。</w:t>
            </w:r>
          </w:p>
          <w:p>
            <w:pPr>
              <w:keepNext w:val="0"/>
              <w:keepLines w:val="0"/>
              <w:widowControl w:val="0"/>
              <w:suppressLineNumbers w:val="0"/>
              <w:snapToGrid w:val="0"/>
              <w:spacing w:before="0" w:beforeAutospacing="0" w:after="0" w:afterAutospacing="0" w:line="440" w:lineRule="exact"/>
              <w:ind w:right="0" w:firstLine="472" w:firstLineChars="200"/>
              <w:jc w:val="both"/>
              <w:rPr>
                <w:rFonts w:hint="default"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在优化</w:t>
            </w:r>
            <w:r>
              <w:rPr>
                <w:rFonts w:hint="eastAsia" w:ascii="楷体" w:hAnsi="楷体" w:eastAsia="楷体" w:cs="楷体"/>
                <w:b/>
                <w:bCs/>
                <w:kern w:val="2"/>
                <w:sz w:val="24"/>
                <w:szCs w:val="24"/>
                <w:lang w:val="en-US" w:eastAsia="zh-CN" w:bidi="ar"/>
              </w:rPr>
              <w:t>调度</w:t>
            </w:r>
            <w:r>
              <w:rPr>
                <w:rFonts w:hint="eastAsia" w:ascii="楷体" w:hAnsi="楷体" w:eastAsia="楷体" w:cs="楷体"/>
                <w:kern w:val="2"/>
                <w:sz w:val="24"/>
                <w:szCs w:val="24"/>
                <w:lang w:val="en-US" w:eastAsia="zh-CN" w:bidi="ar"/>
              </w:rPr>
              <w:t>环节，存在决</w:t>
            </w:r>
            <w:r>
              <w:rPr>
                <w:rFonts w:hint="eastAsia" w:ascii="楷体" w:hAnsi="楷体" w:eastAsia="楷体" w:cs="楷体"/>
                <w:kern w:val="2"/>
                <w:sz w:val="24"/>
                <w:szCs w:val="21"/>
                <w:lang w:val="en-US" w:eastAsia="zh-CN" w:bidi="ar"/>
              </w:rPr>
              <w:t>策变量多的特点，决策者或调度模型需考虑同一流域的“厂、网、河、泵、闸、站、池、泥、库”等多类型水利工程对象；水污染事件调度涉及防洪、生态、供水等多调度目标间的平衡，长期依赖专家经验进行统筹协调；水污染事件突发性所需求的实时调度，径流、气象等预测的高不确定性，对所构模型的时效与可信度</w:t>
            </w:r>
            <w:r>
              <w:rPr>
                <w:rFonts w:hint="eastAsia" w:ascii="楷体" w:hAnsi="楷体" w:eastAsia="楷体" w:cs="楷体"/>
                <w:kern w:val="2"/>
                <w:sz w:val="24"/>
                <w:szCs w:val="24"/>
                <w:lang w:val="en-US" w:eastAsia="zh-CN" w:bidi="ar"/>
              </w:rPr>
              <w:t>提出了高要求。面对上述挑战，研究者常用以数学优化方法理论为基础的动态规划法</w:t>
            </w:r>
            <w:r>
              <w:rPr>
                <w:rFonts w:hint="default" w:ascii="Times New Roman" w:hAnsi="Times New Roman" w:eastAsia="楷体" w:cs="Times New Roman"/>
                <w:kern w:val="2"/>
                <w:sz w:val="24"/>
                <w:szCs w:val="24"/>
                <w:vertAlign w:val="superscript"/>
                <w:lang w:val="en-US" w:eastAsia="zh-CN" w:bidi="ar"/>
              </w:rPr>
              <w:t>[15-17]</w:t>
            </w:r>
            <w:r>
              <w:rPr>
                <w:rFonts w:hint="eastAsia" w:ascii="楷体" w:hAnsi="楷体" w:eastAsia="楷体" w:cs="楷体"/>
                <w:kern w:val="2"/>
                <w:sz w:val="24"/>
                <w:szCs w:val="24"/>
                <w:lang w:val="en-US" w:eastAsia="zh-CN" w:bidi="ar"/>
              </w:rPr>
              <w:t>和以全局随机搜索思想为基础的人工智能算法</w:t>
            </w:r>
            <w:r>
              <w:rPr>
                <w:rFonts w:hint="default" w:ascii="Times New Roman" w:hAnsi="Times New Roman" w:eastAsia="楷体" w:cs="Times New Roman"/>
                <w:kern w:val="2"/>
                <w:sz w:val="24"/>
                <w:szCs w:val="24"/>
                <w:vertAlign w:val="superscript"/>
                <w:lang w:val="en-US" w:eastAsia="zh-CN" w:bidi="ar"/>
              </w:rPr>
              <w:t>[18-20]</w:t>
            </w:r>
            <w:r>
              <w:rPr>
                <w:rFonts w:hint="eastAsia" w:ascii="楷体" w:hAnsi="楷体" w:eastAsia="楷体" w:cs="楷体"/>
                <w:kern w:val="2"/>
                <w:sz w:val="24"/>
                <w:szCs w:val="24"/>
                <w:lang w:val="en-US" w:eastAsia="zh-CN" w:bidi="ar"/>
              </w:rPr>
              <w:t>，实现实时、精准调度。但随着决策变量数目的增加，动态规划法面临“维数灾”问题；智能算法在接近全局最优解时搜索速度变慢，导致计算结果不稳定。</w:t>
            </w:r>
          </w:p>
          <w:p>
            <w:pPr>
              <w:keepNext w:val="0"/>
              <w:keepLines w:val="0"/>
              <w:widowControl w:val="0"/>
              <w:suppressLineNumbers w:val="0"/>
              <w:snapToGrid w:val="0"/>
              <w:spacing w:before="0" w:beforeAutospacing="0" w:after="0" w:afterAutospacing="0" w:line="440" w:lineRule="exact"/>
              <w:ind w:right="0" w:firstLine="472" w:firstLineChars="200"/>
              <w:jc w:val="both"/>
              <w:rPr>
                <w:rFonts w:hint="eastAsia"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综上所述，水污染事件严重威胁居民健康，已成为影响群众生活、生态安全、国家发展的重大社会环境问题。近年，我国水污染事件治理取得长足进步，但仍然存在诸多不足，缺乏水污染事件决策与管理的系统思维、整体理念，“头痛医头，脚疼医脚”的局面愈演愈烈，极大地影响着水污染事件治理的效果和生态环境的安全。</w:t>
            </w:r>
          </w:p>
          <w:p>
            <w:pPr>
              <w:keepNext w:val="0"/>
              <w:keepLines w:val="0"/>
              <w:widowControl w:val="0"/>
              <w:suppressLineNumbers w:val="0"/>
              <w:snapToGrid w:val="0"/>
              <w:spacing w:before="0" w:beforeAutospacing="0" w:after="0" w:afterAutospacing="0" w:line="440" w:lineRule="exact"/>
              <w:ind w:right="0" w:firstLine="472" w:firstLineChars="200"/>
              <w:jc w:val="both"/>
              <w:rPr>
                <w:rFonts w:hint="eastAsia"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应该看到，水污染事件受人为因素与自然演变的共同影响，不同事件样本存在模式相似性，且发生机制间也具有密切关联性，使得从数据价值挖掘角度构建智能系统，实现水污染事件的智能化、综合化治理成为可能。本研究拟选择</w:t>
            </w:r>
            <w:r>
              <w:rPr>
                <w:rFonts w:hint="eastAsia" w:ascii="楷体" w:hAnsi="楷体" w:eastAsia="楷体" w:cs="楷体"/>
                <w:b w:val="0"/>
                <w:bCs w:val="0"/>
                <w:kern w:val="2"/>
                <w:sz w:val="24"/>
                <w:szCs w:val="24"/>
                <w:lang w:val="en-US" w:eastAsia="zh-CN" w:bidi="ar"/>
              </w:rPr>
              <w:t>关联密切的水污染治理过程----</w:t>
            </w:r>
            <w:r>
              <w:rPr>
                <w:rFonts w:hint="eastAsia" w:ascii="楷体" w:hAnsi="楷体" w:eastAsia="楷体" w:cs="楷体"/>
                <w:kern w:val="2"/>
                <w:sz w:val="24"/>
                <w:szCs w:val="24"/>
                <w:lang w:val="en-US" w:eastAsia="zh-CN" w:bidi="ar"/>
              </w:rPr>
              <w:t>数</w:t>
            </w:r>
            <w:r>
              <w:rPr>
                <w:rFonts w:hint="eastAsia" w:ascii="楷体" w:hAnsi="楷体" w:eastAsia="楷体" w:cs="楷体"/>
                <w:b w:val="0"/>
                <w:bCs w:val="0"/>
                <w:kern w:val="2"/>
                <w:sz w:val="24"/>
                <w:szCs w:val="24"/>
                <w:lang w:val="en-US" w:eastAsia="zh-CN" w:bidi="ar"/>
              </w:rPr>
              <w:t>据分析、污染溯源和优化调度----作为研究重点，以系统科学和整合理论为思维导向，以人工智能、大数据为技术导向，以《水污染防治行动计划》和《水利部关于开展智慧水利先行先试工作的通知》等政策为国家需求导向，以人工智能与水利水环境交叉的一些关键领域智能算法设计为切入点，围绕精准度、可信度、</w:t>
            </w:r>
            <w:r>
              <w:rPr>
                <w:rFonts w:hint="eastAsia" w:ascii="楷体" w:hAnsi="楷体" w:eastAsia="楷体" w:cs="楷体"/>
                <w:kern w:val="2"/>
                <w:sz w:val="24"/>
                <w:szCs w:val="24"/>
                <w:lang w:val="en-US" w:eastAsia="zh-CN" w:bidi="ar"/>
              </w:rPr>
              <w:t>时效性、可扩展性等关键性能指标，对面向领域应用的智能算法设计及其在水污染事件治理的应用技术开展深入研究。</w:t>
            </w:r>
          </w:p>
          <w:p>
            <w:pPr>
              <w:keepNext w:val="0"/>
              <w:keepLines w:val="0"/>
              <w:widowControl w:val="0"/>
              <w:numPr>
                <w:ilvl w:val="0"/>
                <w:numId w:val="0"/>
              </w:numPr>
              <w:suppressLineNumbers w:val="0"/>
              <w:snapToGrid w:val="0"/>
              <w:spacing w:before="0" w:beforeAutospacing="0" w:after="0" w:afterAutospacing="0" w:line="440" w:lineRule="exact"/>
              <w:ind w:right="0" w:rightChars="0"/>
              <w:jc w:val="both"/>
              <w:rPr>
                <w:rFonts w:hint="default" w:ascii="楷体" w:hAnsi="楷体" w:eastAsia="楷体" w:cs="楷体"/>
                <w:b/>
                <w:bCs/>
                <w:kern w:val="2"/>
                <w:sz w:val="24"/>
                <w:szCs w:val="21"/>
                <w:lang w:val="en-US" w:eastAsia="zh-CN" w:bidi="ar"/>
              </w:rPr>
            </w:pPr>
            <w:r>
              <w:rPr>
                <w:rFonts w:hint="eastAsia" w:ascii="楷体" w:hAnsi="楷体" w:eastAsia="楷体" w:cs="楷体"/>
                <w:b/>
                <w:bCs/>
                <w:kern w:val="2"/>
                <w:sz w:val="24"/>
                <w:szCs w:val="21"/>
                <w:lang w:val="en-US" w:eastAsia="zh-CN" w:bidi="ar"/>
              </w:rPr>
              <w:t>参考文献</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rPr>
                <w:rFonts w:ascii="楷体" w:hAnsi="楷体" w:eastAsia="楷体" w:cs="楷体"/>
                <w:szCs w:val="21"/>
              </w:rPr>
            </w:pPr>
            <w:r>
              <w:rPr>
                <w:rFonts w:hint="eastAsia" w:ascii="楷体" w:hAnsi="楷体" w:eastAsia="楷体" w:cs="楷体"/>
                <w:szCs w:val="21"/>
              </w:rPr>
              <w:t>许静，</w:t>
            </w:r>
            <w:r>
              <w:rPr>
                <w:rFonts w:ascii="楷体" w:hAnsi="楷体" w:eastAsia="楷体" w:cs="楷体"/>
                <w:szCs w:val="21"/>
              </w:rPr>
              <w:t xml:space="preserve"> </w:t>
            </w:r>
            <w:r>
              <w:rPr>
                <w:rFonts w:hint="eastAsia" w:ascii="楷体" w:hAnsi="楷体" w:eastAsia="楷体" w:cs="楷体"/>
                <w:szCs w:val="21"/>
              </w:rPr>
              <w:t xml:space="preserve">王永桂， 陈岩， </w:t>
            </w:r>
            <w:r>
              <w:rPr>
                <w:rFonts w:ascii="楷体" w:hAnsi="楷体" w:eastAsia="楷体" w:cs="楷体"/>
                <w:szCs w:val="21"/>
              </w:rPr>
              <w:t>赵琰鑫</w:t>
            </w:r>
            <w:r>
              <w:rPr>
                <w:rFonts w:hint="eastAsia" w:ascii="楷体" w:hAnsi="楷体" w:eastAsia="楷体" w:cs="楷体"/>
                <w:szCs w:val="21"/>
              </w:rPr>
              <w:t>。 中国突发水污染事件时空分布特征。中国环境科学，  38卷12期，2018。</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rPr>
                <w:rFonts w:ascii="楷体" w:hAnsi="楷体" w:eastAsia="楷体" w:cs="楷体"/>
                <w:szCs w:val="21"/>
              </w:rPr>
            </w:pPr>
            <w:r>
              <w:rPr>
                <w:rFonts w:hint="eastAsia" w:ascii="楷体" w:hAnsi="楷体" w:eastAsia="楷体" w:cs="楷体"/>
                <w:szCs w:val="21"/>
              </w:rPr>
              <w:t>蔡阳。智慧水利建设现状分析与发展思考。水利信息化， 4期，2018。</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t xml:space="preserve">T. A. Larsen, S. Hoffmann, C. Lüthi, B. Truffer, and M. Maurer, “Emerging solutions to the water challenges of an urbanizing world,” </w:t>
            </w:r>
            <w:r>
              <w:rPr>
                <w:i/>
              </w:rPr>
              <w:t>Science</w:t>
            </w:r>
            <w:r>
              <w:t>, vol.352, no.6288, pp. 928-933,2016.</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t>N</w:t>
            </w:r>
            <w:r>
              <w:rPr>
                <w:rFonts w:hint="eastAsia"/>
              </w:rPr>
              <w:t>.</w:t>
            </w:r>
            <w:r>
              <w:t xml:space="preserve"> L. Poff, C. Brown, T. Grantham, and G. F. Mendoza, “Sustainable water management under future uncertainty with eco-engineering decision scaling,” </w:t>
            </w:r>
            <w:r>
              <w:rPr>
                <w:i/>
              </w:rPr>
              <w:t>Nature Climate Change</w:t>
            </w:r>
            <w:r>
              <w:t>, vol.6, no.1, pp. 25-34, 2016.</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t xml:space="preserve">X. Yu, and S. Y. Liong, “Forecasting of hydrologic time series with ridge regression in feature space,” </w:t>
            </w:r>
            <w:r>
              <w:rPr>
                <w:i/>
              </w:rPr>
              <w:t>Journal of Hydrology</w:t>
            </w:r>
            <w:r>
              <w:t>, vol,.332, no.3-4, pp.290-302, 2007.</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t xml:space="preserve">A. Sarhadi, D. H. Burn, F. Johnson, </w:t>
            </w:r>
            <w:bookmarkStart w:id="0" w:name="bau020"/>
            <w:r>
              <w:fldChar w:fldCharType="begin"/>
            </w:r>
            <w:r>
              <w:instrText xml:space="preserve"> HYPERLINK "https://www.sciencedirect.com/science/article/pii/S0022169416300749" \l "!" </w:instrText>
            </w:r>
            <w:r>
              <w:fldChar w:fldCharType="separate"/>
            </w:r>
            <w:r>
              <w:t>R. Mehrotra,</w:t>
            </w:r>
            <w:r>
              <w:fldChar w:fldCharType="end"/>
            </w:r>
            <w:bookmarkEnd w:id="0"/>
            <w:bookmarkStart w:id="1" w:name="bau025"/>
            <w:r>
              <w:t xml:space="preserve"> A. Sharma</w:t>
            </w:r>
            <w:bookmarkEnd w:id="1"/>
            <w:r>
              <w:t xml:space="preserve">, “Water resources climate change projections using supervised nonlinear and multivariate soft computing techniques,” </w:t>
            </w:r>
            <w:r>
              <w:rPr>
                <w:i/>
              </w:rPr>
              <w:t>Journal of Hydrology</w:t>
            </w:r>
            <w:r>
              <w:t>, vol.536, pp.119-132, 2016.</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t>Y. Zhuang, and W. Ding, “Long-lead prediction of extreme precipitation cluster via a spatiotemporal convolutional neural network,” i</w:t>
            </w:r>
            <w:r>
              <w:rPr>
                <w:i/>
              </w:rPr>
              <w:t>n Proceedings of the 6th International Workshop on Climate Informatics</w:t>
            </w:r>
            <w:r>
              <w:t>, 2016, pp. 128-131.</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rPr>
                <w:rFonts w:ascii="楷体" w:hAnsi="楷体" w:eastAsia="楷体" w:cs="楷体"/>
                <w:szCs w:val="21"/>
              </w:rPr>
            </w:pPr>
            <w:r>
              <w:rPr>
                <w:rFonts w:hint="eastAsia" w:ascii="楷体" w:hAnsi="楷体" w:eastAsia="楷体" w:cs="楷体"/>
                <w:szCs w:val="21"/>
              </w:rPr>
              <w:t xml:space="preserve">程伟平，廖锡健。基于逆向概率密度函数的一维污染源排放重构。水动力学研究与进展， 26卷4期，2011。 </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rPr>
                <w:rFonts w:ascii="楷体" w:hAnsi="楷体" w:eastAsia="楷体" w:cs="楷体"/>
                <w:szCs w:val="21"/>
              </w:rPr>
            </w:pPr>
            <w:r>
              <w:rPr>
                <w:rFonts w:hint="eastAsia" w:ascii="楷体" w:hAnsi="楷体" w:eastAsia="楷体" w:cs="楷体"/>
                <w:szCs w:val="21"/>
              </w:rPr>
              <w:t>王家彪，雷晓辉，廖卫红，</w:t>
            </w:r>
            <w:r>
              <w:rPr>
                <w:rFonts w:ascii="楷体" w:hAnsi="楷体" w:eastAsia="楷体" w:cs="楷体"/>
                <w:szCs w:val="21"/>
              </w:rPr>
              <w:t>王浩</w:t>
            </w:r>
            <w:r>
              <w:rPr>
                <w:rFonts w:ascii="Calibri" w:hAnsi="Calibri" w:eastAsia="楷体" w:cs="Calibri"/>
                <w:szCs w:val="21"/>
              </w:rPr>
              <w:t> </w:t>
            </w:r>
            <w:r>
              <w:rPr>
                <w:rFonts w:hint="eastAsia" w:ascii="楷体" w:hAnsi="楷体" w:eastAsia="楷体" w:cs="楷体"/>
                <w:szCs w:val="21"/>
              </w:rPr>
              <w:t>。基于耦合概率密度方法的河渠突发水污染溯源。水利学报，46卷11期，2015。</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rPr>
                <w:rFonts w:hint="eastAsia"/>
              </w:rPr>
              <w:t xml:space="preserve"> Y</w:t>
            </w:r>
            <w:r>
              <w:t>.</w:t>
            </w:r>
            <w:r>
              <w:rPr>
                <w:rFonts w:hint="eastAsia"/>
              </w:rPr>
              <w:t xml:space="preserve"> H</w:t>
            </w:r>
            <w:r>
              <w:t xml:space="preserve">. </w:t>
            </w:r>
            <w:r>
              <w:rPr>
                <w:rFonts w:hint="eastAsia"/>
              </w:rPr>
              <w:t>Chen, P</w:t>
            </w:r>
            <w:r>
              <w:t xml:space="preserve">. </w:t>
            </w:r>
            <w:r>
              <w:rPr>
                <w:rFonts w:hint="eastAsia"/>
              </w:rPr>
              <w:t>Wang, J</w:t>
            </w:r>
            <w:r>
              <w:t xml:space="preserve">. </w:t>
            </w:r>
            <w:r>
              <w:rPr>
                <w:rFonts w:hint="eastAsia"/>
              </w:rPr>
              <w:t>P</w:t>
            </w:r>
            <w:r>
              <w:t xml:space="preserve">. </w:t>
            </w:r>
            <w:r>
              <w:rPr>
                <w:rFonts w:hint="eastAsia"/>
              </w:rPr>
              <w:t>J</w:t>
            </w:r>
            <w:r>
              <w:t>iang</w:t>
            </w:r>
            <w:r>
              <w:rPr>
                <w:rFonts w:hint="eastAsia"/>
              </w:rPr>
              <w:t>,</w:t>
            </w:r>
            <w:r>
              <w:t xml:space="preserve"> and</w:t>
            </w:r>
            <w:r>
              <w:rPr>
                <w:rFonts w:hint="eastAsia"/>
              </w:rPr>
              <w:t xml:space="preserve"> </w:t>
            </w:r>
            <w:r>
              <w:t>L. Guo,</w:t>
            </w:r>
            <w:r>
              <w:rPr>
                <w:rFonts w:hint="eastAsia"/>
              </w:rPr>
              <w:t xml:space="preserve"> </w:t>
            </w:r>
            <w:r>
              <w:t>“</w:t>
            </w:r>
            <w:r>
              <w:rPr>
                <w:rFonts w:hint="eastAsia"/>
              </w:rPr>
              <w:t>Contaminant  point  source  identification  of rivers  chemical  spills  based  on  correlation  coefficients  optimization  method</w:t>
            </w:r>
            <w:r>
              <w:t xml:space="preserve">,” </w:t>
            </w:r>
            <w:r>
              <w:rPr>
                <w:rFonts w:hint="eastAsia"/>
                <w:i/>
              </w:rPr>
              <w:t>China Environmental Science</w:t>
            </w:r>
            <w:r>
              <w:rPr>
                <w:rFonts w:hint="eastAsia"/>
              </w:rPr>
              <w:t xml:space="preserve">, </w:t>
            </w:r>
            <w:r>
              <w:t>vol.</w:t>
            </w:r>
            <w:r>
              <w:rPr>
                <w:rFonts w:hint="eastAsia"/>
              </w:rPr>
              <w:t>31</w:t>
            </w:r>
            <w:r>
              <w:t>, no.</w:t>
            </w:r>
            <w:r>
              <w:rPr>
                <w:rFonts w:hint="eastAsia"/>
              </w:rPr>
              <w:t>11</w:t>
            </w:r>
            <w:r>
              <w:t>, pp.</w:t>
            </w:r>
            <w:r>
              <w:rPr>
                <w:rFonts w:hint="eastAsia"/>
              </w:rPr>
              <w:t xml:space="preserve"> 1802-1807</w:t>
            </w:r>
            <w:r>
              <w:t>,</w:t>
            </w:r>
            <w:r>
              <w:rPr>
                <w:rFonts w:hint="eastAsia"/>
              </w:rPr>
              <w:t xml:space="preserve"> 2011.</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rPr>
                <w:rFonts w:hint="eastAsia"/>
              </w:rPr>
              <w:t>J</w:t>
            </w:r>
            <w:r>
              <w:t xml:space="preserve">. </w:t>
            </w:r>
            <w:r>
              <w:rPr>
                <w:rFonts w:hint="eastAsia"/>
              </w:rPr>
              <w:t>P</w:t>
            </w:r>
            <w:r>
              <w:t xml:space="preserve">. </w:t>
            </w:r>
            <w:r>
              <w:rPr>
                <w:rFonts w:hint="eastAsia"/>
              </w:rPr>
              <w:t>Jiang, F</w:t>
            </w:r>
            <w:r>
              <w:t xml:space="preserve">. </w:t>
            </w:r>
            <w:r>
              <w:rPr>
                <w:rFonts w:hint="eastAsia"/>
              </w:rPr>
              <w:t>Han, Y</w:t>
            </w:r>
            <w:r>
              <w:t xml:space="preserve">. </w:t>
            </w:r>
            <w:r>
              <w:rPr>
                <w:rFonts w:hint="eastAsia"/>
              </w:rPr>
              <w:t>Zheng,</w:t>
            </w:r>
            <w:r>
              <w:t xml:space="preserve"> and</w:t>
            </w:r>
            <w:r>
              <w:rPr>
                <w:rFonts w:hint="eastAsia"/>
              </w:rPr>
              <w:t xml:space="preserve"> </w:t>
            </w:r>
            <w:r>
              <w:t>N. Wang,</w:t>
            </w:r>
            <w:r>
              <w:rPr>
                <w:rFonts w:hint="eastAsia"/>
              </w:rPr>
              <w:t xml:space="preserve"> </w:t>
            </w:r>
            <w:r>
              <w:t>“</w:t>
            </w:r>
            <w:r>
              <w:rPr>
                <w:rFonts w:hint="eastAsia"/>
              </w:rPr>
              <w:t>Inverse  uncertainty  characteristics  of  pollution source  identification  for  river  chemical  spill  incidents  by  stochastic  analysis</w:t>
            </w:r>
            <w:r>
              <w:t xml:space="preserve">,” </w:t>
            </w:r>
            <w:r>
              <w:rPr>
                <w:rFonts w:hint="eastAsia"/>
                <w:i/>
              </w:rPr>
              <w:t>Frontiers of Environmental Science &amp; Engineering</w:t>
            </w:r>
            <w:r>
              <w:rPr>
                <w:rFonts w:hint="eastAsia"/>
              </w:rPr>
              <w:t xml:space="preserve">, </w:t>
            </w:r>
            <w:r>
              <w:t>vol.</w:t>
            </w:r>
            <w:r>
              <w:rPr>
                <w:rFonts w:hint="eastAsia"/>
              </w:rPr>
              <w:t>12</w:t>
            </w:r>
            <w:r>
              <w:t>, no.</w:t>
            </w:r>
            <w:r>
              <w:rPr>
                <w:rFonts w:hint="eastAsia"/>
              </w:rPr>
              <w:t>5</w:t>
            </w:r>
            <w:r>
              <w:t>,</w:t>
            </w:r>
            <w:r>
              <w:rPr>
                <w:rFonts w:hint="eastAsia"/>
              </w:rPr>
              <w:t xml:space="preserve"> 2018</w:t>
            </w:r>
            <w:r>
              <w:t>.</w:t>
            </w:r>
            <w:r>
              <w:rPr>
                <w:rFonts w:hint="eastAsia"/>
              </w:rPr>
              <w:t xml:space="preserve"> </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rPr>
                <w:rFonts w:hint="eastAsia"/>
              </w:rPr>
              <w:t>L</w:t>
            </w:r>
            <w:r>
              <w:t xml:space="preserve">. </w:t>
            </w:r>
            <w:r>
              <w:rPr>
                <w:rFonts w:hint="eastAsia"/>
              </w:rPr>
              <w:t>Zeng, L</w:t>
            </w:r>
            <w:r>
              <w:t xml:space="preserve">. </w:t>
            </w:r>
            <w:r>
              <w:rPr>
                <w:rFonts w:hint="eastAsia"/>
              </w:rPr>
              <w:t>Shi, D</w:t>
            </w:r>
            <w:r>
              <w:t xml:space="preserve">. </w:t>
            </w:r>
            <w:r>
              <w:rPr>
                <w:rFonts w:hint="eastAsia"/>
              </w:rPr>
              <w:t>Zhang,</w:t>
            </w:r>
            <w:r>
              <w:t xml:space="preserve"> and L. Wu, “</w:t>
            </w:r>
            <w:r>
              <w:rPr>
                <w:rFonts w:hint="eastAsia"/>
              </w:rPr>
              <w:t>A sparse grid based Bayesian method for contaminant source identification</w:t>
            </w:r>
            <w:r>
              <w:t xml:space="preserve">,” </w:t>
            </w:r>
            <w:r>
              <w:rPr>
                <w:rFonts w:hint="eastAsia"/>
                <w:i/>
              </w:rPr>
              <w:t>Advances in Water Resources</w:t>
            </w:r>
            <w:r>
              <w:rPr>
                <w:rFonts w:hint="eastAsia"/>
              </w:rPr>
              <w:t xml:space="preserve">, </w:t>
            </w:r>
            <w:r>
              <w:t>vol.</w:t>
            </w:r>
            <w:r>
              <w:rPr>
                <w:rFonts w:hint="eastAsia"/>
              </w:rPr>
              <w:t>37</w:t>
            </w:r>
            <w:r>
              <w:t>, pp.</w:t>
            </w:r>
            <w:r>
              <w:rPr>
                <w:rFonts w:hint="eastAsia"/>
              </w:rPr>
              <w:t xml:space="preserve"> 1-9</w:t>
            </w:r>
            <w:r>
              <w:t xml:space="preserve">, </w:t>
            </w:r>
            <w:r>
              <w:rPr>
                <w:rFonts w:hint="eastAsia"/>
              </w:rPr>
              <w:t>2012</w:t>
            </w:r>
            <w:r>
              <w:t>.</w:t>
            </w:r>
            <w:r>
              <w:rPr>
                <w:rFonts w:hint="eastAsia"/>
              </w:rPr>
              <w:t xml:space="preserve"> </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rPr>
                <w:rFonts w:ascii="楷体" w:hAnsi="楷体" w:eastAsia="楷体" w:cs="楷体"/>
                <w:szCs w:val="21"/>
              </w:rPr>
            </w:pPr>
            <w:r>
              <w:rPr>
                <w:rFonts w:hint="eastAsia" w:ascii="楷体" w:hAnsi="楷体" w:eastAsia="楷体" w:cs="楷体"/>
                <w:szCs w:val="21"/>
              </w:rPr>
              <w:t>姜继平，董芙嘉，刘仁涛，</w:t>
            </w:r>
            <w:r>
              <w:rPr>
                <w:rFonts w:ascii="楷体" w:hAnsi="楷体" w:eastAsia="楷体" w:cs="楷体"/>
                <w:szCs w:val="21"/>
              </w:rPr>
              <w:t>袁一星</w:t>
            </w:r>
            <w:r>
              <w:rPr>
                <w:rFonts w:hint="eastAsia" w:ascii="楷体" w:hAnsi="楷体" w:eastAsia="楷体" w:cs="楷体"/>
                <w:szCs w:val="21"/>
              </w:rPr>
              <w:t xml:space="preserve">。基于河流示踪实验的 Bayes 污染溯源:算法参数、影响因素及频率法对比。中国环境科学，37卷10期，2017。 </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rPr>
                <w:rFonts w:ascii="楷体" w:hAnsi="楷体" w:eastAsia="楷体" w:cs="楷体"/>
                <w:szCs w:val="21"/>
              </w:rPr>
            </w:pPr>
            <w:r>
              <w:rPr>
                <w:rFonts w:hint="eastAsia" w:ascii="楷体" w:hAnsi="楷体" w:eastAsia="楷体" w:cs="楷体"/>
                <w:szCs w:val="21"/>
              </w:rPr>
              <w:t>曹宏桂，贠卫国。基于 PSO-DE 算法的突发水域污染溯源研究。中国环境科学，37卷10期，2017。</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rPr>
                <w:rFonts w:ascii="楷体" w:hAnsi="楷体" w:eastAsia="楷体" w:cs="楷体"/>
                <w:szCs w:val="21"/>
              </w:rPr>
            </w:pPr>
            <w:r>
              <w:rPr>
                <w:rFonts w:hint="eastAsia" w:ascii="楷体" w:hAnsi="楷体" w:eastAsia="楷体" w:cs="楷体"/>
                <w:szCs w:val="21"/>
              </w:rPr>
              <w:t>李力，周建中，戴领，周华艳。金沙江下游梯级水库蓄水期多目标生态调度研究。水电能源科学，38卷11期2020。</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rPr>
                <w:rFonts w:ascii="楷体" w:hAnsi="楷体" w:eastAsia="楷体" w:cs="楷体"/>
                <w:szCs w:val="21"/>
              </w:rPr>
            </w:pPr>
            <w:r>
              <w:rPr>
                <w:rFonts w:hint="eastAsia" w:ascii="楷体" w:hAnsi="楷体" w:eastAsia="楷体" w:cs="楷体"/>
                <w:szCs w:val="21"/>
              </w:rPr>
              <w:t>周研来，郭生练，陈进。溪洛渡－向家坝－三峡梯级水库联合蓄水方案与多目标决策研究。水利学报，46卷10期，2015。</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t xml:space="preserve">J. </w:t>
            </w:r>
            <w:r>
              <w:rPr>
                <w:rFonts w:hint="eastAsia"/>
              </w:rPr>
              <w:t>Zhang,</w:t>
            </w:r>
            <w:r>
              <w:t xml:space="preserve"> Y. </w:t>
            </w:r>
            <w:r>
              <w:rPr>
                <w:rFonts w:hint="eastAsia"/>
              </w:rPr>
              <w:t>Shang,</w:t>
            </w:r>
            <w:r>
              <w:t xml:space="preserve"> J. </w:t>
            </w:r>
            <w:r>
              <w:rPr>
                <w:rFonts w:hint="eastAsia"/>
              </w:rPr>
              <w:t>Liu,</w:t>
            </w:r>
            <w:r>
              <w:t xml:space="preserve"> J. </w:t>
            </w:r>
            <w:r>
              <w:rPr>
                <w:rFonts w:hint="eastAsia"/>
              </w:rPr>
              <w:t>Lu,</w:t>
            </w:r>
            <w:r>
              <w:t xml:space="preserve"> S. </w:t>
            </w:r>
            <w:r>
              <w:rPr>
                <w:rFonts w:hint="eastAsia"/>
              </w:rPr>
              <w:t>Wei,</w:t>
            </w:r>
            <w:r>
              <w:t xml:space="preserve"> Z. </w:t>
            </w:r>
            <w:r>
              <w:rPr>
                <w:rFonts w:hint="eastAsia"/>
              </w:rPr>
              <w:t>Wan,</w:t>
            </w:r>
            <w:r>
              <w:t xml:space="preserve"> Q. </w:t>
            </w:r>
            <w:r>
              <w:rPr>
                <w:rFonts w:hint="eastAsia"/>
              </w:rPr>
              <w:t>Luo,</w:t>
            </w:r>
            <w:r>
              <w:t xml:space="preserve"> C. </w:t>
            </w:r>
            <w:r>
              <w:rPr>
                <w:rFonts w:hint="eastAsia"/>
              </w:rPr>
              <w:t>Chen,</w:t>
            </w:r>
            <w:r>
              <w:t xml:space="preserve"> L. </w:t>
            </w:r>
            <w:r>
              <w:rPr>
                <w:rFonts w:hint="eastAsia"/>
              </w:rPr>
              <w:t>Tong,</w:t>
            </w:r>
            <w:r>
              <w:t xml:space="preserve"> Q. </w:t>
            </w:r>
            <w:r>
              <w:rPr>
                <w:rFonts w:hint="eastAsia"/>
              </w:rPr>
              <w:t>Wang,</w:t>
            </w:r>
            <w:r>
              <w:t xml:space="preserve"> and J. </w:t>
            </w:r>
            <w:r>
              <w:rPr>
                <w:rFonts w:hint="eastAsia"/>
              </w:rPr>
              <w:t>Fu</w:t>
            </w:r>
            <w:r>
              <w:t>,</w:t>
            </w:r>
            <w:r>
              <w:rPr>
                <w:rFonts w:hint="eastAsia"/>
              </w:rPr>
              <w:t xml:space="preserve"> </w:t>
            </w:r>
            <w:r>
              <w:t>“</w:t>
            </w:r>
            <w:r>
              <w:rPr>
                <w:rFonts w:hint="eastAsia"/>
              </w:rPr>
              <w:t>Optimisation of reservoir operation mode to improve sediment transport capacity of silt-laden rivers</w:t>
            </w:r>
            <w:r>
              <w:t>,”</w:t>
            </w:r>
            <w:r>
              <w:rPr>
                <w:rFonts w:hint="eastAsia"/>
                <w:i/>
              </w:rPr>
              <w:t xml:space="preserve"> Journal of Hydrology</w:t>
            </w:r>
            <w:r>
              <w:rPr>
                <w:rFonts w:hint="eastAsia"/>
              </w:rPr>
              <w:t>,</w:t>
            </w:r>
            <w:r>
              <w:t xml:space="preserve"> vol.</w:t>
            </w:r>
            <w:r>
              <w:rPr>
                <w:rFonts w:hint="eastAsia"/>
              </w:rPr>
              <w:t>594</w:t>
            </w:r>
            <w:r>
              <w:t xml:space="preserve">, </w:t>
            </w:r>
            <w:r>
              <w:rPr>
                <w:rFonts w:hint="eastAsia"/>
              </w:rPr>
              <w:t>2021</w:t>
            </w:r>
            <w:r>
              <w:t>.</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rPr>
                <w:rFonts w:ascii="楷体" w:hAnsi="楷体" w:eastAsia="楷体" w:cs="楷体"/>
                <w:szCs w:val="21"/>
              </w:rPr>
            </w:pPr>
            <w:r>
              <w:t xml:space="preserve">G. </w:t>
            </w:r>
            <w:r>
              <w:rPr>
                <w:rFonts w:hint="eastAsia"/>
              </w:rPr>
              <w:t>Yang,</w:t>
            </w:r>
            <w:r>
              <w:t xml:space="preserve"> B. </w:t>
            </w:r>
            <w:r>
              <w:rPr>
                <w:rFonts w:hint="eastAsia"/>
              </w:rPr>
              <w:t>Zaitchik,</w:t>
            </w:r>
            <w:r>
              <w:t xml:space="preserve"> H. </w:t>
            </w:r>
            <w:r>
              <w:rPr>
                <w:rFonts w:hint="eastAsia"/>
              </w:rPr>
              <w:t>Badr,</w:t>
            </w:r>
            <w:r>
              <w:t xml:space="preserve"> and P. </w:t>
            </w:r>
            <w:r>
              <w:rPr>
                <w:rFonts w:hint="eastAsia"/>
              </w:rPr>
              <w:t>Block</w:t>
            </w:r>
            <w:r>
              <w:t>,</w:t>
            </w:r>
            <w:r>
              <w:rPr>
                <w:rFonts w:hint="eastAsia"/>
              </w:rPr>
              <w:t xml:space="preserve"> </w:t>
            </w:r>
            <w:r>
              <w:t>“</w:t>
            </w:r>
            <w:r>
              <w:rPr>
                <w:rFonts w:hint="eastAsia"/>
              </w:rPr>
              <w:t>A Bayesian adaptive reservoir operation framework incorporating streamflow non-stationarity</w:t>
            </w:r>
            <w:r>
              <w:t>,”</w:t>
            </w:r>
            <w:r>
              <w:rPr>
                <w:rFonts w:hint="eastAsia"/>
              </w:rPr>
              <w:t xml:space="preserve"> </w:t>
            </w:r>
            <w:r>
              <w:rPr>
                <w:rFonts w:hint="eastAsia"/>
                <w:i/>
              </w:rPr>
              <w:t>Journal of Hydrology</w:t>
            </w:r>
            <w:r>
              <w:rPr>
                <w:rFonts w:hint="eastAsia"/>
              </w:rPr>
              <w:t>,</w:t>
            </w:r>
            <w:r>
              <w:t xml:space="preserve"> vol. </w:t>
            </w:r>
            <w:r>
              <w:rPr>
                <w:rFonts w:hint="eastAsia"/>
              </w:rPr>
              <w:t>594</w:t>
            </w:r>
            <w:r>
              <w:t>, 2021</w:t>
            </w:r>
            <w:r>
              <w:rPr>
                <w:rFonts w:hint="eastAsia"/>
              </w:rPr>
              <w:t>.</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rPr>
                <w:rFonts w:hint="eastAsia"/>
              </w:rPr>
              <w:t>F</w:t>
            </w:r>
            <w:r>
              <w:t>.</w:t>
            </w:r>
            <w:r>
              <w:rPr>
                <w:rFonts w:hint="eastAsia"/>
              </w:rPr>
              <w:t xml:space="preserve"> K</w:t>
            </w:r>
            <w:r>
              <w:t>.</w:t>
            </w:r>
            <w:r>
              <w:rPr>
                <w:rFonts w:hint="eastAsia"/>
              </w:rPr>
              <w:t xml:space="preserve"> Khadim,</w:t>
            </w:r>
            <w:r>
              <w:t xml:space="preserve"> and</w:t>
            </w:r>
            <w:r>
              <w:rPr>
                <w:rFonts w:hint="eastAsia"/>
              </w:rPr>
              <w:t xml:space="preserve"> R</w:t>
            </w:r>
            <w:r>
              <w:t>.</w:t>
            </w:r>
            <w:r>
              <w:rPr>
                <w:rFonts w:hint="eastAsia"/>
              </w:rPr>
              <w:t xml:space="preserve"> S</w:t>
            </w:r>
            <w:r>
              <w:t xml:space="preserve">. </w:t>
            </w:r>
            <w:r>
              <w:rPr>
                <w:rFonts w:hint="eastAsia"/>
              </w:rPr>
              <w:t>Teegavarapu</w:t>
            </w:r>
            <w:r>
              <w:t>, “</w:t>
            </w:r>
            <w:r>
              <w:rPr>
                <w:rFonts w:hint="eastAsia"/>
              </w:rPr>
              <w:t>Optimal interventions for flood control, drainage and irrigation project improvements</w:t>
            </w:r>
            <w:r>
              <w:t>,”</w:t>
            </w:r>
            <w:r>
              <w:rPr>
                <w:rFonts w:hint="eastAsia"/>
              </w:rPr>
              <w:t xml:space="preserve"> </w:t>
            </w:r>
            <w:r>
              <w:rPr>
                <w:rFonts w:hint="eastAsia"/>
                <w:i/>
              </w:rPr>
              <w:t>Hydrological Sciences Journal</w:t>
            </w:r>
            <w:r>
              <w:rPr>
                <w:rFonts w:hint="eastAsia"/>
              </w:rPr>
              <w:t xml:space="preserve">, </w:t>
            </w:r>
            <w:r>
              <w:t>vol.</w:t>
            </w:r>
            <w:r>
              <w:rPr>
                <w:rFonts w:hint="eastAsia"/>
              </w:rPr>
              <w:t xml:space="preserve"> 65</w:t>
            </w:r>
            <w:r>
              <w:t xml:space="preserve">, no. </w:t>
            </w:r>
            <w:r>
              <w:rPr>
                <w:rFonts w:hint="eastAsia"/>
              </w:rPr>
              <w:t>3</w:t>
            </w:r>
            <w:r>
              <w:t>, pp.</w:t>
            </w:r>
            <w:r>
              <w:rPr>
                <w:rFonts w:hint="eastAsia"/>
              </w:rPr>
              <w:t xml:space="preserve"> 427-441</w:t>
            </w:r>
            <w:r>
              <w:t>,</w:t>
            </w:r>
            <w:r>
              <w:rPr>
                <w:rFonts w:hint="eastAsia"/>
              </w:rPr>
              <w:t xml:space="preserve"> 2020</w:t>
            </w:r>
            <w:r>
              <w:t>.</w:t>
            </w:r>
          </w:p>
          <w:p>
            <w:pPr>
              <w:pStyle w:val="21"/>
              <w:keepNext w:val="0"/>
              <w:keepLines w:val="0"/>
              <w:pageBreakBefore w:val="0"/>
              <w:widowControl/>
              <w:numPr>
                <w:ilvl w:val="0"/>
                <w:numId w:val="1"/>
              </w:numPr>
              <w:kinsoku/>
              <w:wordWrap/>
              <w:overflowPunct/>
              <w:topLinePunct w:val="0"/>
              <w:autoSpaceDE/>
              <w:autoSpaceDN/>
              <w:bidi w:val="0"/>
              <w:adjustRightInd/>
              <w:snapToGrid/>
              <w:spacing w:line="120" w:lineRule="auto"/>
              <w:ind w:left="420" w:hanging="420" w:firstLineChars="0"/>
              <w:textAlignment w:val="auto"/>
            </w:pPr>
            <w:r>
              <w:rPr>
                <w:rFonts w:hint="eastAsia"/>
              </w:rPr>
              <w:t>D</w:t>
            </w:r>
            <w:r>
              <w:t xml:space="preserve">. </w:t>
            </w:r>
            <w:r>
              <w:rPr>
                <w:rFonts w:hint="eastAsia"/>
              </w:rPr>
              <w:t>Zhang, J</w:t>
            </w:r>
            <w:r>
              <w:t xml:space="preserve">. </w:t>
            </w:r>
            <w:r>
              <w:rPr>
                <w:rFonts w:hint="eastAsia"/>
              </w:rPr>
              <w:t>Shen, P</w:t>
            </w:r>
            <w:r>
              <w:t xml:space="preserve">. </w:t>
            </w:r>
            <w:r>
              <w:rPr>
                <w:rFonts w:hint="eastAsia"/>
              </w:rPr>
              <w:t xml:space="preserve">Liu, </w:t>
            </w:r>
            <w:r>
              <w:t>Q. Zhang, and F. Sun,</w:t>
            </w:r>
            <w:r>
              <w:rPr>
                <w:rFonts w:hint="eastAsia"/>
              </w:rPr>
              <w:t xml:space="preserve"> </w:t>
            </w:r>
            <w:r>
              <w:t>“</w:t>
            </w:r>
            <w:r>
              <w:rPr>
                <w:rFonts w:hint="eastAsia"/>
              </w:rPr>
              <w:t>Use of Fuzzy Analytic Hierarchy Process and Environmental Gini Coefficient for Allocation of Regional Flood Drainage Rights</w:t>
            </w:r>
            <w:r>
              <w:t>,”</w:t>
            </w:r>
            <w:r>
              <w:rPr>
                <w:rFonts w:hint="eastAsia"/>
              </w:rPr>
              <w:t xml:space="preserve"> </w:t>
            </w:r>
            <w:r>
              <w:rPr>
                <w:rFonts w:hint="eastAsia"/>
                <w:i/>
              </w:rPr>
              <w:t>International journal of environmental research and public health</w:t>
            </w:r>
            <w:r>
              <w:rPr>
                <w:rFonts w:hint="eastAsia"/>
              </w:rPr>
              <w:t>,</w:t>
            </w:r>
            <w:r>
              <w:t xml:space="preserve"> vol.</w:t>
            </w:r>
            <w:r>
              <w:rPr>
                <w:rFonts w:hint="eastAsia"/>
              </w:rPr>
              <w:t>17</w:t>
            </w:r>
            <w:r>
              <w:t>, no.</w:t>
            </w:r>
            <w:r>
              <w:rPr>
                <w:rFonts w:hint="eastAsia"/>
              </w:rPr>
              <w:t>6</w:t>
            </w:r>
            <w:r>
              <w:t>,</w:t>
            </w:r>
            <w:r>
              <w:rPr>
                <w:rFonts w:hint="eastAsia"/>
              </w:rPr>
              <w:t xml:space="preserve"> </w:t>
            </w:r>
            <w:r>
              <w:t xml:space="preserve">p. </w:t>
            </w:r>
            <w:r>
              <w:rPr>
                <w:rFonts w:hint="eastAsia"/>
              </w:rPr>
              <w:t>2063</w:t>
            </w:r>
            <w:r>
              <w:t xml:space="preserve">, </w:t>
            </w:r>
            <w:r>
              <w:rPr>
                <w:rFonts w:hint="eastAsia"/>
              </w:rPr>
              <w:t>2020.</w:t>
            </w:r>
          </w:p>
          <w:p>
            <w:pPr>
              <w:keepNext w:val="0"/>
              <w:keepLines w:val="0"/>
              <w:widowControl w:val="0"/>
              <w:suppressLineNumbers w:val="0"/>
              <w:snapToGrid w:val="0"/>
              <w:spacing w:before="0" w:beforeAutospacing="0" w:after="0" w:afterAutospacing="0" w:line="440" w:lineRule="exact"/>
              <w:ind w:right="0"/>
              <w:jc w:val="both"/>
              <w:rPr>
                <w:rFonts w:hint="eastAsia" w:ascii="楷体" w:hAnsi="楷体" w:eastAsia="楷体" w:cs="楷体"/>
                <w:kern w:val="2"/>
                <w:sz w:val="24"/>
                <w:szCs w:val="24"/>
                <w:lang w:val="en-US" w:eastAsia="zh-CN" w:bidi="ar"/>
              </w:rPr>
            </w:pPr>
          </w:p>
          <w:p>
            <w:pPr>
              <w:keepNext w:val="0"/>
              <w:keepLines w:val="0"/>
              <w:widowControl w:val="0"/>
              <w:suppressLineNumbers w:val="0"/>
              <w:snapToGrid w:val="0"/>
              <w:spacing w:before="0" w:beforeAutospacing="0" w:after="0" w:afterAutospacing="0" w:line="440" w:lineRule="exact"/>
              <w:ind w:right="0"/>
              <w:jc w:val="both"/>
              <w:rPr>
                <w:rFonts w:hint="eastAsia" w:ascii="楷体" w:hAnsi="楷体" w:eastAsia="楷体" w:cs="楷体"/>
                <w:kern w:val="2"/>
                <w:sz w:val="24"/>
                <w:szCs w:val="24"/>
                <w:lang w:val="en-US" w:eastAsia="zh-CN" w:bidi="ar"/>
              </w:rPr>
            </w:pPr>
          </w:p>
          <w:p>
            <w:pPr>
              <w:pStyle w:val="7"/>
              <w:keepNext w:val="0"/>
              <w:keepLines w:val="0"/>
              <w:widowControl w:val="0"/>
              <w:suppressLineNumbers w:val="0"/>
              <w:snapToGrid w:val="0"/>
              <w:spacing w:before="0" w:beforeAutospacing="0" w:after="0" w:afterAutospacing="0" w:line="440" w:lineRule="exact"/>
              <w:ind w:left="0" w:right="0" w:firstLine="0" w:firstLineChars="0"/>
              <w:jc w:val="both"/>
              <w:rPr>
                <w:rFonts w:hint="eastAsia" w:ascii="楷体" w:hAnsi="楷体" w:eastAsia="楷体" w:cs="楷体"/>
                <w:kern w:val="2"/>
                <w:sz w:val="22"/>
                <w:szCs w:val="20"/>
                <w:lang w:val="en-US" w:eastAsia="zh-CN" w:bidi="ar"/>
              </w:rPr>
            </w:pPr>
            <w:r>
              <w:rPr>
                <w:rFonts w:hint="eastAsia" w:ascii="楷体" w:hAnsi="楷体" w:eastAsia="楷体" w:cs="楷体"/>
                <w:b/>
                <w:bCs w:val="0"/>
                <w:kern w:val="2"/>
                <w:sz w:val="24"/>
                <w:szCs w:val="24"/>
                <w:lang w:val="en-US" w:eastAsia="zh-CN" w:bidi="ar"/>
              </w:rPr>
              <w:t>4.2 研究内容</w:t>
            </w:r>
          </w:p>
          <w:p>
            <w:pPr>
              <w:keepNext w:val="0"/>
              <w:keepLines w:val="0"/>
              <w:widowControl w:val="0"/>
              <w:suppressLineNumbers w:val="0"/>
              <w:snapToGrid w:val="0"/>
              <w:spacing w:before="0" w:beforeAutospacing="0" w:after="0" w:afterAutospacing="0" w:line="440" w:lineRule="exact"/>
              <w:ind w:left="0" w:right="0"/>
              <w:jc w:val="center"/>
              <w:rPr>
                <w:rFonts w:hint="eastAsia" w:ascii="楷体" w:hAnsi="楷体" w:eastAsia="楷体" w:cs="楷体"/>
                <w:kern w:val="2"/>
                <w:sz w:val="22"/>
                <w:szCs w:val="22"/>
                <w:lang w:val="en-US" w:eastAsia="zh-CN" w:bidi="ar"/>
              </w:rPr>
            </w:pPr>
            <w:r>
              <w:rPr>
                <w:rFonts w:hint="eastAsia" w:ascii="楷体" w:hAnsi="楷体" w:eastAsia="楷体" w:cs="楷体"/>
                <w:kern w:val="2"/>
                <w:sz w:val="22"/>
                <w:szCs w:val="20"/>
                <w:lang w:val="en-US" w:eastAsia="zh-CN" w:bidi="ar"/>
              </w:rPr>
              <w:drawing>
                <wp:anchor distT="0" distB="0" distL="114300" distR="114300" simplePos="0" relativeHeight="251660288" behindDoc="0" locked="0" layoutInCell="1" allowOverlap="1">
                  <wp:simplePos x="0" y="0"/>
                  <wp:positionH relativeFrom="column">
                    <wp:posOffset>497840</wp:posOffset>
                  </wp:positionH>
                  <wp:positionV relativeFrom="paragraph">
                    <wp:posOffset>139065</wp:posOffset>
                  </wp:positionV>
                  <wp:extent cx="4002405" cy="3754755"/>
                  <wp:effectExtent l="0" t="0" r="5715" b="9525"/>
                  <wp:wrapTopAndBottom/>
                  <wp:docPr id="2" name="图片 3" descr="面上基金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面上基金2"/>
                          <pic:cNvPicPr>
                            <a:picLocks noChangeAspect="1"/>
                          </pic:cNvPicPr>
                        </pic:nvPicPr>
                        <pic:blipFill>
                          <a:blip r:embed="rId12"/>
                          <a:stretch>
                            <a:fillRect/>
                          </a:stretch>
                        </pic:blipFill>
                        <pic:spPr>
                          <a:xfrm>
                            <a:off x="0" y="0"/>
                            <a:ext cx="4002405" cy="3754755"/>
                          </a:xfrm>
                          <a:prstGeom prst="rect">
                            <a:avLst/>
                          </a:prstGeom>
                          <a:noFill/>
                          <a:ln>
                            <a:noFill/>
                          </a:ln>
                        </pic:spPr>
                      </pic:pic>
                    </a:graphicData>
                  </a:graphic>
                </wp:anchor>
              </w:drawing>
            </w:r>
            <w:r>
              <w:rPr>
                <w:rFonts w:hint="eastAsia" w:ascii="楷体" w:hAnsi="楷体" w:eastAsia="楷体" w:cs="楷体"/>
                <w:kern w:val="2"/>
                <w:sz w:val="22"/>
                <w:szCs w:val="20"/>
                <w:lang w:val="en-US" w:eastAsia="zh-CN" w:bidi="ar"/>
              </w:rPr>
              <w:t>图2. 本项目的研究内容</w:t>
            </w:r>
          </w:p>
          <w:p>
            <w:pPr>
              <w:pStyle w:val="7"/>
              <w:keepNext w:val="0"/>
              <w:keepLines w:val="0"/>
              <w:widowControl w:val="0"/>
              <w:suppressLineNumbers w:val="0"/>
              <w:snapToGrid w:val="0"/>
              <w:spacing w:before="0" w:beforeAutospacing="0" w:after="0" w:afterAutospacing="0" w:line="440" w:lineRule="exact"/>
              <w:ind w:left="0" w:right="0" w:firstLine="472" w:firstLineChars="200"/>
              <w:jc w:val="both"/>
              <w:rPr>
                <w:rFonts w:hint="eastAsia" w:ascii="楷体" w:hAnsi="楷体" w:eastAsia="楷体" w:cs="楷体"/>
                <w:kern w:val="2"/>
                <w:sz w:val="24"/>
                <w:szCs w:val="24"/>
                <w:lang w:val="en-US" w:eastAsia="zh-CN" w:bidi="ar"/>
              </w:rPr>
            </w:pPr>
          </w:p>
          <w:p>
            <w:pPr>
              <w:pStyle w:val="7"/>
              <w:keepNext w:val="0"/>
              <w:keepLines w:val="0"/>
              <w:widowControl w:val="0"/>
              <w:suppressLineNumbers w:val="0"/>
              <w:snapToGrid w:val="0"/>
              <w:spacing w:before="0" w:beforeAutospacing="0" w:after="0" w:afterAutospacing="0" w:line="440" w:lineRule="exact"/>
              <w:ind w:left="0" w:right="0" w:firstLine="472" w:firstLineChars="200"/>
              <w:jc w:val="both"/>
              <w:rPr>
                <w:rFonts w:hint="default"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针对水污染事件治理智能化带来的机遇与挑战，项目将以</w:t>
            </w:r>
            <w:r>
              <w:rPr>
                <w:rFonts w:hint="eastAsia" w:ascii="楷体" w:hAnsi="楷体" w:eastAsia="楷体" w:cs="楷体"/>
                <w:b w:val="0"/>
                <w:bCs w:val="0"/>
                <w:kern w:val="2"/>
                <w:sz w:val="24"/>
                <w:szCs w:val="24"/>
                <w:lang w:val="en-US" w:eastAsia="zh-CN" w:bidi="ar"/>
              </w:rPr>
              <w:t>人工智能与水利水环境算法交叉的一些关键领域智能算法设计(如自动处理、趋势预测、模式挖掘、污染溯源、优化调度等)</w:t>
            </w:r>
            <w:r>
              <w:rPr>
                <w:rFonts w:hint="eastAsia" w:ascii="楷体" w:hAnsi="楷体" w:eastAsia="楷体" w:cs="楷体"/>
                <w:kern w:val="2"/>
                <w:sz w:val="24"/>
                <w:szCs w:val="24"/>
                <w:lang w:val="en-US" w:eastAsia="zh-CN" w:bidi="ar"/>
              </w:rPr>
              <w:t>为切入点，围绕</w:t>
            </w:r>
            <w:r>
              <w:rPr>
                <w:rFonts w:hint="eastAsia" w:ascii="楷体" w:hAnsi="楷体" w:eastAsia="楷体" w:cs="楷体"/>
                <w:b w:val="0"/>
                <w:bCs w:val="0"/>
                <w:kern w:val="2"/>
                <w:sz w:val="24"/>
                <w:szCs w:val="24"/>
                <w:lang w:val="en-US" w:eastAsia="zh-CN" w:bidi="ar"/>
              </w:rPr>
              <w:t>精准度、可信度、</w:t>
            </w:r>
            <w:r>
              <w:rPr>
                <w:rFonts w:hint="eastAsia" w:ascii="楷体" w:hAnsi="楷体" w:eastAsia="楷体" w:cs="楷体"/>
                <w:kern w:val="2"/>
                <w:sz w:val="24"/>
                <w:szCs w:val="24"/>
                <w:lang w:val="en-US" w:eastAsia="zh-CN" w:bidi="ar"/>
              </w:rPr>
              <w:t>时效性、可扩展性等关键性能指标，进行综合化、智能化、精准化的</w:t>
            </w:r>
            <w:r>
              <w:rPr>
                <w:rFonts w:hint="eastAsia" w:ascii="楷体" w:hAnsi="楷体" w:eastAsia="楷体" w:cs="楷体"/>
                <w:kern w:val="2"/>
                <w:sz w:val="24"/>
                <w:szCs w:val="21"/>
                <w:lang w:val="en-US" w:eastAsia="zh-CN" w:bidi="ar"/>
              </w:rPr>
              <w:t>水污染事件治理研究。研究内容由相互联系、有机结合的四个部分组成(研究内容的总体框架如图2所示)：</w:t>
            </w:r>
          </w:p>
          <w:p>
            <w:pPr>
              <w:keepNext w:val="0"/>
              <w:keepLines w:val="0"/>
              <w:widowControl w:val="0"/>
              <w:numPr>
                <w:ilvl w:val="0"/>
                <w:numId w:val="0"/>
              </w:numPr>
              <w:suppressLineNumbers w:val="0"/>
              <w:snapToGrid w:val="0"/>
              <w:spacing w:before="0" w:beforeAutospacing="0" w:after="0" w:afterAutospacing="0" w:line="440" w:lineRule="exact"/>
              <w:ind w:leftChars="0" w:right="0" w:rightChars="0" w:firstLine="472" w:firstLineChars="200"/>
              <w:jc w:val="both"/>
              <w:rPr>
                <w:rFonts w:hint="default"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一、</w:t>
            </w:r>
            <w:r>
              <w:rPr>
                <w:rFonts w:hint="default" w:ascii="楷体" w:hAnsi="楷体" w:eastAsia="楷体" w:cs="楷体"/>
                <w:kern w:val="2"/>
                <w:sz w:val="24"/>
                <w:szCs w:val="24"/>
                <w:lang w:val="en-US" w:eastAsia="zh-CN" w:bidi="ar"/>
              </w:rPr>
              <w:t>水污染</w:t>
            </w:r>
            <w:r>
              <w:rPr>
                <w:rFonts w:hint="eastAsia" w:ascii="楷体" w:hAnsi="楷体" w:eastAsia="楷体" w:cs="楷体"/>
                <w:kern w:val="2"/>
                <w:sz w:val="24"/>
                <w:szCs w:val="24"/>
                <w:lang w:val="en-US" w:eastAsia="zh-CN" w:bidi="ar"/>
              </w:rPr>
              <w:t>应用</w:t>
            </w:r>
            <w:r>
              <w:rPr>
                <w:rFonts w:hint="default" w:ascii="楷体" w:hAnsi="楷体" w:eastAsia="楷体" w:cs="楷体"/>
                <w:kern w:val="2"/>
                <w:sz w:val="24"/>
                <w:szCs w:val="24"/>
                <w:lang w:val="en-US" w:eastAsia="zh-CN" w:bidi="ar"/>
              </w:rPr>
              <w:t>场景构建</w:t>
            </w:r>
            <w:r>
              <w:rPr>
                <w:rFonts w:hint="eastAsia" w:ascii="楷体" w:hAnsi="楷体" w:eastAsia="楷体" w:cs="楷体"/>
                <w:kern w:val="2"/>
                <w:sz w:val="24"/>
                <w:szCs w:val="24"/>
                <w:lang w:val="en-US" w:eastAsia="zh-CN" w:bidi="ar"/>
              </w:rPr>
              <w:t>与</w:t>
            </w:r>
            <w:r>
              <w:rPr>
                <w:rFonts w:hint="default" w:ascii="楷体" w:hAnsi="楷体" w:eastAsia="楷体" w:cs="楷体"/>
                <w:kern w:val="2"/>
                <w:sz w:val="24"/>
                <w:szCs w:val="24"/>
                <w:lang w:val="en-US" w:eastAsia="zh-CN" w:bidi="ar"/>
              </w:rPr>
              <w:t>多源异构数据事件化技术</w:t>
            </w:r>
          </w:p>
          <w:p>
            <w:pPr>
              <w:keepNext w:val="0"/>
              <w:keepLines w:val="0"/>
              <w:widowControl w:val="0"/>
              <w:numPr>
                <w:ilvl w:val="0"/>
                <w:numId w:val="0"/>
              </w:numPr>
              <w:suppressLineNumbers w:val="0"/>
              <w:snapToGrid w:val="0"/>
              <w:spacing w:before="0" w:beforeAutospacing="0" w:after="0" w:afterAutospacing="0" w:line="440" w:lineRule="exact"/>
              <w:ind w:leftChars="0" w:right="0" w:rightChars="0" w:firstLine="472" w:firstLineChars="200"/>
              <w:jc w:val="both"/>
              <w:rPr>
                <w:rFonts w:hint="default"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二、</w:t>
            </w:r>
            <w:r>
              <w:rPr>
                <w:rFonts w:hint="default" w:ascii="楷体" w:hAnsi="楷体" w:eastAsia="楷体" w:cs="楷体"/>
                <w:kern w:val="2"/>
                <w:sz w:val="24"/>
                <w:szCs w:val="24"/>
                <w:lang w:val="en-US" w:eastAsia="zh-CN" w:bidi="ar"/>
              </w:rPr>
              <w:t>基于上下文信息建模的</w:t>
            </w:r>
            <w:r>
              <w:rPr>
                <w:rFonts w:hint="eastAsia" w:ascii="楷体" w:hAnsi="楷体" w:eastAsia="楷体" w:cs="楷体"/>
                <w:kern w:val="2"/>
                <w:sz w:val="24"/>
                <w:szCs w:val="24"/>
                <w:lang w:val="en-US" w:eastAsia="zh-CN" w:bidi="ar"/>
              </w:rPr>
              <w:t>场景对象</w:t>
            </w:r>
            <w:r>
              <w:rPr>
                <w:rFonts w:hint="default" w:ascii="楷体" w:hAnsi="楷体" w:eastAsia="楷体" w:cs="楷体"/>
                <w:kern w:val="2"/>
                <w:sz w:val="24"/>
                <w:szCs w:val="24"/>
                <w:lang w:val="en-US" w:eastAsia="zh-CN" w:bidi="ar"/>
              </w:rPr>
              <w:t>趋势预测算法</w:t>
            </w:r>
          </w:p>
          <w:p>
            <w:pPr>
              <w:keepNext w:val="0"/>
              <w:keepLines w:val="0"/>
              <w:widowControl w:val="0"/>
              <w:numPr>
                <w:ilvl w:val="0"/>
                <w:numId w:val="0"/>
              </w:numPr>
              <w:suppressLineNumbers w:val="0"/>
              <w:snapToGrid w:val="0"/>
              <w:spacing w:before="0" w:beforeAutospacing="0" w:after="0" w:afterAutospacing="0" w:line="440" w:lineRule="exact"/>
              <w:ind w:leftChars="0" w:right="0" w:rightChars="0" w:firstLine="472" w:firstLineChars="200"/>
              <w:jc w:val="both"/>
              <w:rPr>
                <w:rFonts w:hint="default"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三、</w:t>
            </w:r>
            <w:r>
              <w:rPr>
                <w:rFonts w:hint="default" w:ascii="楷体" w:hAnsi="楷体" w:eastAsia="楷体" w:cs="楷体"/>
                <w:kern w:val="2"/>
                <w:sz w:val="24"/>
                <w:szCs w:val="24"/>
                <w:lang w:val="en-US" w:eastAsia="zh-CN" w:bidi="ar"/>
              </w:rPr>
              <w:t>面向可扩展场景的水污染事件溯源机制与技术</w:t>
            </w:r>
          </w:p>
          <w:p>
            <w:pPr>
              <w:keepNext w:val="0"/>
              <w:keepLines w:val="0"/>
              <w:widowControl w:val="0"/>
              <w:numPr>
                <w:ilvl w:val="0"/>
                <w:numId w:val="0"/>
              </w:numPr>
              <w:suppressLineNumbers w:val="0"/>
              <w:snapToGrid w:val="0"/>
              <w:spacing w:before="0" w:beforeAutospacing="0" w:after="0" w:afterAutospacing="0" w:line="440" w:lineRule="exact"/>
              <w:ind w:leftChars="0" w:right="0" w:rightChars="0" w:firstLine="472" w:firstLineChars="200"/>
              <w:jc w:val="both"/>
              <w:rPr>
                <w:rFonts w:hint="default" w:ascii="楷体" w:hAnsi="楷体" w:eastAsia="楷体" w:cs="楷体"/>
                <w:kern w:val="2"/>
                <w:sz w:val="24"/>
                <w:szCs w:val="24"/>
                <w:lang w:val="en-US" w:eastAsia="zh-CN" w:bidi="ar"/>
              </w:rPr>
            </w:pPr>
            <w:r>
              <w:rPr>
                <w:rFonts w:hint="eastAsia" w:ascii="楷体" w:hAnsi="楷体" w:eastAsia="楷体" w:cs="楷体"/>
                <w:kern w:val="2"/>
                <w:sz w:val="24"/>
                <w:szCs w:val="24"/>
                <w:lang w:val="en-US" w:eastAsia="zh-CN" w:bidi="ar"/>
              </w:rPr>
              <w:t>四、</w:t>
            </w:r>
            <w:r>
              <w:rPr>
                <w:rFonts w:hint="default" w:ascii="楷体" w:hAnsi="楷体" w:eastAsia="楷体" w:cs="楷体"/>
                <w:kern w:val="2"/>
                <w:sz w:val="24"/>
                <w:szCs w:val="24"/>
                <w:lang w:val="en-US" w:eastAsia="zh-CN" w:bidi="ar"/>
              </w:rPr>
              <w:t>面向多目标与多利益主体的截污调蓄设施优化调度技术</w:t>
            </w:r>
          </w:p>
          <w:p>
            <w:pPr>
              <w:keepNext w:val="0"/>
              <w:keepLines w:val="0"/>
              <w:widowControl w:val="0"/>
              <w:numPr>
                <w:ilvl w:val="0"/>
                <w:numId w:val="0"/>
              </w:numPr>
              <w:suppressLineNumbers w:val="0"/>
              <w:snapToGrid w:val="0"/>
              <w:spacing w:before="0" w:beforeAutospacing="0" w:after="0" w:afterAutospacing="0" w:line="440" w:lineRule="exact"/>
              <w:ind w:leftChars="0" w:right="0" w:rightChars="0" w:firstLine="472" w:firstLineChars="200"/>
              <w:jc w:val="both"/>
              <w:rPr>
                <w:rFonts w:hint="eastAsia" w:ascii="楷体" w:hAnsi="楷体" w:eastAsia="楷体" w:cs="楷体"/>
                <w:kern w:val="2"/>
                <w:sz w:val="24"/>
                <w:szCs w:val="24"/>
                <w:lang w:val="en-US" w:eastAsia="zh-CN" w:bidi="ar"/>
              </w:rPr>
            </w:pPr>
          </w:p>
          <w:p>
            <w:pPr>
              <w:keepNext w:val="0"/>
              <w:keepLines w:val="0"/>
              <w:widowControl w:val="0"/>
              <w:numPr>
                <w:ilvl w:val="0"/>
                <w:numId w:val="2"/>
              </w:numPr>
              <w:suppressLineNumbers w:val="0"/>
              <w:snapToGrid w:val="0"/>
              <w:spacing w:before="0" w:beforeAutospacing="0" w:after="0" w:afterAutospacing="0" w:line="440" w:lineRule="exact"/>
              <w:ind w:left="420" w:leftChars="0" w:right="0" w:hanging="420" w:firstLineChars="0"/>
              <w:jc w:val="both"/>
              <w:rPr>
                <w:rFonts w:hint="eastAsia" w:ascii="楷体" w:hAnsi="楷体" w:eastAsia="楷体" w:cs="楷体"/>
                <w:kern w:val="2"/>
                <w:sz w:val="24"/>
                <w:szCs w:val="21"/>
                <w:lang w:val="en-US" w:eastAsia="zh-CN" w:bidi="ar"/>
              </w:rPr>
            </w:pPr>
            <w:r>
              <w:rPr>
                <w:rFonts w:hint="eastAsia" w:ascii="楷体" w:hAnsi="楷体" w:eastAsia="楷体" w:cs="楷体"/>
                <w:b/>
                <w:bCs w:val="0"/>
                <w:kern w:val="2"/>
                <w:sz w:val="24"/>
                <w:szCs w:val="21"/>
                <w:lang w:val="en-US" w:eastAsia="zh-CN" w:bidi="ar"/>
              </w:rPr>
              <w:t>水污染应用场景构建与多源异构数据事件化技术</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default" w:ascii="楷体" w:hAnsi="楷体" w:eastAsia="楷体" w:cs="楷体"/>
                <w:kern w:val="2"/>
                <w:sz w:val="24"/>
                <w:szCs w:val="21"/>
                <w:lang w:val="en-US" w:eastAsia="zh-CN" w:bidi="ar"/>
              </w:rPr>
            </w:pPr>
            <w:r>
              <w:rPr>
                <w:rFonts w:hint="eastAsia" w:ascii="楷体" w:hAnsi="楷体" w:eastAsia="楷体" w:cs="楷体"/>
                <w:kern w:val="2"/>
                <w:sz w:val="24"/>
                <w:szCs w:val="21"/>
                <w:lang w:val="en-US" w:eastAsia="zh-CN" w:bidi="ar"/>
              </w:rPr>
              <w:t>在利用水利数据前，需明确数据要解决水污染事件问题的应用场景，如应用趋势预测、模式挖掘、污染溯源或优化调度，建立应用场景，明确数据应用方向。最后，结合应用场景和应用目标对应用过程进行解构，明确数据使用方法。比如对河道氮浓度预报来说，需要哪些数据来源，利用什么数据分析方法建模等。应用场景具体化，能充分发挥水利大数据的应用价值。因此，项目拟首先结合大量专家文本，设计自然语言处理算法，高效提取面向应用的专家知识集，厘清数据需求，并结合当前数据准备情况，构建水污染应用场景。</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kern w:val="2"/>
                <w:sz w:val="24"/>
                <w:szCs w:val="21"/>
                <w:lang w:val="en-US" w:eastAsia="zh-CN" w:bidi="ar"/>
              </w:rPr>
            </w:pPr>
            <w:r>
              <w:rPr>
                <w:rFonts w:hint="eastAsia" w:ascii="楷体" w:hAnsi="楷体" w:eastAsia="楷体" w:cs="楷体"/>
                <w:kern w:val="2"/>
                <w:sz w:val="24"/>
                <w:szCs w:val="21"/>
                <w:lang w:val="en-US" w:eastAsia="zh-CN" w:bidi="ar"/>
              </w:rPr>
              <w:t>在水利信息化系统中，水利数据对象数量大、类型多、空间分布广、运行环境复杂、交织作用因素众多，难以形成系统化管控手段。为了避免因数据信息冗余或复杂导致后续预报调度、控制决策失败，通过语义建模引入适当的事件化化简处理是首先需要研究的内容。考虑到水利数据以时变类型为主，水利事件化算法通常与时序数据分割密切相关，项目将首先围绕单元时序数据语义分割开展事件化研究。针对水污染事件，我们还需要考虑河道监控或水域遥感图像信息的引入与处理，提取关联水域图像的关注主体，实现图像类非结构化数据的特征信息建模与降维。项目拟设计水污染监控与遥感图像的分割及特征化技术。水利事件的交替发生常存在时延特性，如上游工厂的偷排会随流输移，下游污染物监测值发生异常往往会在数小时后，但二者存在强关联关系，需挖掘二者关联模式，将其聚集为场景数据集合。因此，在单元时序数据与图像处理基础上，需结合多源数据信息，挖掘数据间关联模式，协同事件化为水污染应用场景数据集合，多视角完整描述水污染事件。具体研究点包括：</w:t>
            </w:r>
          </w:p>
          <w:p>
            <w:pPr>
              <w:keepNext w:val="0"/>
              <w:keepLines w:val="0"/>
              <w:widowControl w:val="0"/>
              <w:numPr>
                <w:ilvl w:val="0"/>
                <w:numId w:val="3"/>
              </w:numPr>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b/>
                <w:bCs w:val="0"/>
                <w:kern w:val="2"/>
                <w:sz w:val="24"/>
                <w:szCs w:val="21"/>
                <w:lang w:val="en-US" w:eastAsia="zh-CN" w:bidi="ar"/>
              </w:rPr>
            </w:pPr>
            <w:r>
              <w:rPr>
                <w:rFonts w:hint="eastAsia" w:ascii="楷体" w:hAnsi="楷体" w:eastAsia="楷体" w:cs="楷体"/>
                <w:b/>
                <w:bCs w:val="0"/>
                <w:kern w:val="2"/>
                <w:sz w:val="24"/>
                <w:szCs w:val="21"/>
                <w:lang w:val="en-US" w:eastAsia="zh-CN" w:bidi="ar"/>
              </w:rPr>
              <w:t>面向业务需求的水污染应用场景构建方法；</w:t>
            </w:r>
          </w:p>
          <w:p>
            <w:pPr>
              <w:keepNext w:val="0"/>
              <w:keepLines w:val="0"/>
              <w:widowControl w:val="0"/>
              <w:numPr>
                <w:ilvl w:val="0"/>
                <w:numId w:val="3"/>
              </w:numPr>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b/>
                <w:bCs w:val="0"/>
                <w:kern w:val="2"/>
                <w:sz w:val="24"/>
                <w:szCs w:val="21"/>
                <w:lang w:val="en-US" w:eastAsia="zh-CN" w:bidi="ar"/>
              </w:rPr>
            </w:pPr>
            <w:r>
              <w:rPr>
                <w:rFonts w:hint="eastAsia" w:ascii="楷体" w:hAnsi="楷体" w:eastAsia="楷体" w:cs="楷体"/>
                <w:b/>
                <w:bCs w:val="0"/>
                <w:kern w:val="2"/>
                <w:sz w:val="24"/>
                <w:szCs w:val="21"/>
                <w:lang w:val="en-US" w:eastAsia="zh-CN" w:bidi="ar"/>
              </w:rPr>
              <w:t>研究水污染事件单元时序数据事件化技术；</w:t>
            </w:r>
          </w:p>
          <w:p>
            <w:pPr>
              <w:keepNext w:val="0"/>
              <w:keepLines w:val="0"/>
              <w:widowControl w:val="0"/>
              <w:numPr>
                <w:ilvl w:val="0"/>
                <w:numId w:val="3"/>
              </w:numPr>
              <w:suppressLineNumbers w:val="0"/>
              <w:snapToGrid w:val="0"/>
              <w:spacing w:before="0" w:beforeAutospacing="0" w:after="0" w:afterAutospacing="0" w:line="440" w:lineRule="exact"/>
              <w:ind w:left="0" w:right="0" w:firstLine="461" w:firstLineChars="195"/>
              <w:jc w:val="both"/>
              <w:rPr>
                <w:rFonts w:hint="default" w:ascii="楷体" w:hAnsi="楷体" w:eastAsia="楷体" w:cs="楷体"/>
                <w:b/>
                <w:bCs w:val="0"/>
                <w:kern w:val="2"/>
                <w:sz w:val="24"/>
                <w:szCs w:val="21"/>
                <w:lang w:val="en-US" w:eastAsia="zh-CN" w:bidi="ar"/>
              </w:rPr>
            </w:pPr>
            <w:r>
              <w:rPr>
                <w:rFonts w:hint="eastAsia" w:ascii="楷体" w:hAnsi="楷体" w:eastAsia="楷体" w:cs="楷体"/>
                <w:b/>
                <w:bCs w:val="0"/>
                <w:kern w:val="2"/>
                <w:sz w:val="24"/>
                <w:szCs w:val="21"/>
                <w:lang w:val="en-US" w:eastAsia="zh-CN" w:bidi="ar"/>
              </w:rPr>
              <w:t>研究水污染监控与遥感图像分割及特征化技术；</w:t>
            </w:r>
          </w:p>
          <w:p>
            <w:pPr>
              <w:keepNext w:val="0"/>
              <w:keepLines w:val="0"/>
              <w:widowControl w:val="0"/>
              <w:numPr>
                <w:ilvl w:val="0"/>
                <w:numId w:val="3"/>
              </w:numPr>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b/>
                <w:bCs w:val="0"/>
                <w:sz w:val="24"/>
                <w:szCs w:val="21"/>
                <w:lang w:val="en-US"/>
              </w:rPr>
            </w:pPr>
            <w:r>
              <w:rPr>
                <w:rFonts w:hint="eastAsia" w:ascii="楷体" w:hAnsi="楷体" w:eastAsia="楷体" w:cs="楷体"/>
                <w:b/>
                <w:bCs w:val="0"/>
                <w:kern w:val="2"/>
                <w:sz w:val="24"/>
                <w:szCs w:val="21"/>
                <w:lang w:val="en-US" w:eastAsia="zh-CN" w:bidi="ar"/>
              </w:rPr>
              <w:t>研究多源异构水污染事件数据协同事件化技术。</w:t>
            </w:r>
          </w:p>
          <w:p>
            <w:pPr>
              <w:keepNext w:val="0"/>
              <w:keepLines w:val="0"/>
              <w:widowControl w:val="0"/>
              <w:suppressLineNumbers w:val="0"/>
              <w:snapToGrid w:val="0"/>
              <w:spacing w:before="0" w:beforeAutospacing="0" w:after="0" w:afterAutospacing="0" w:line="440" w:lineRule="exact"/>
              <w:ind w:right="0"/>
              <w:jc w:val="both"/>
              <w:rPr>
                <w:rFonts w:hint="default" w:ascii="楷体" w:hAnsi="楷体" w:eastAsia="楷体" w:cs="楷体"/>
                <w:b/>
                <w:bCs w:val="0"/>
                <w:kern w:val="2"/>
                <w:sz w:val="24"/>
                <w:szCs w:val="21"/>
                <w:lang w:val="en-US" w:eastAsia="zh-CN" w:bidi="ar"/>
              </w:rPr>
            </w:pPr>
            <w:r>
              <w:rPr>
                <w:rFonts w:hint="default" w:ascii="Times New Roman" w:hAnsi="Times New Roman" w:cs="Times New Roman"/>
                <w:b/>
                <w:bCs w:val="0"/>
                <w:sz w:val="24"/>
                <w:szCs w:val="21"/>
                <w:lang w:val="en-US"/>
              </w:rPr>
              <w:t></w:t>
            </w:r>
          </w:p>
          <w:p>
            <w:pPr>
              <w:keepNext w:val="0"/>
              <w:keepLines w:val="0"/>
              <w:widowControl w:val="0"/>
              <w:numPr>
                <w:ilvl w:val="0"/>
                <w:numId w:val="2"/>
              </w:numPr>
              <w:suppressLineNumbers w:val="0"/>
              <w:snapToGrid w:val="0"/>
              <w:spacing w:before="0" w:beforeAutospacing="0" w:after="0" w:afterAutospacing="0" w:line="440" w:lineRule="exact"/>
              <w:ind w:left="420" w:leftChars="0" w:right="0" w:hanging="420" w:firstLineChars="0"/>
              <w:jc w:val="both"/>
              <w:rPr>
                <w:rFonts w:hint="eastAsia" w:ascii="楷体" w:hAnsi="楷体" w:eastAsia="楷体" w:cs="楷体"/>
                <w:kern w:val="2"/>
                <w:sz w:val="24"/>
                <w:szCs w:val="21"/>
                <w:lang w:val="en-US" w:eastAsia="zh-CN" w:bidi="ar"/>
              </w:rPr>
            </w:pPr>
            <w:r>
              <w:rPr>
                <w:rFonts w:hint="eastAsia" w:ascii="楷体" w:hAnsi="楷体" w:eastAsia="楷体" w:cs="楷体"/>
                <w:b/>
                <w:bCs w:val="0"/>
                <w:kern w:val="2"/>
                <w:sz w:val="24"/>
                <w:szCs w:val="21"/>
                <w:lang w:val="en-US" w:eastAsia="zh-CN" w:bidi="ar"/>
              </w:rPr>
              <w:t>基于上下文信息建模的场景对象趋势预测算法</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default" w:ascii="楷体" w:hAnsi="楷体" w:eastAsia="楷体" w:cs="楷体"/>
                <w:kern w:val="2"/>
                <w:sz w:val="24"/>
                <w:szCs w:val="21"/>
                <w:lang w:val="en-US" w:eastAsia="zh-CN" w:bidi="ar"/>
              </w:rPr>
            </w:pPr>
            <w:r>
              <w:rPr>
                <w:rFonts w:hint="eastAsia" w:ascii="楷体" w:hAnsi="楷体" w:eastAsia="楷体" w:cs="楷体"/>
                <w:kern w:val="2"/>
                <w:sz w:val="24"/>
                <w:szCs w:val="21"/>
                <w:lang w:val="en-US" w:eastAsia="zh-CN" w:bidi="ar"/>
              </w:rPr>
              <w:t>趋势预测是基于挖掘的演变特征和诊断的水利事件，利用领域智能模型对事件的未来的演进态势进行预测，明确水利对象的未来。受自然和人为双重影响，水污染趋势预测场景中各数据变化快，水污染过程呈现动态演化特征。针对该问题，项目拟从数据重要性变化和数据间关系变化两方面刻画场景上下文信息，构建当前时刻与前后时刻的关联关系，提升预测模型在场景数据动态切换下的泛用性与准确性。结合所刻画的上下文信息，我们将通过深度学习算法，探究流域整体空间范围内、水污染事件时域中，场景数据特征与特定场景对象的概率模型，全面解释场景数据中隐含的时空特征与场景对象趋势的相关关系，发现数据驱动的水利知识。</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sz w:val="24"/>
                <w:szCs w:val="21"/>
                <w:lang w:val="en-US"/>
              </w:rPr>
            </w:pPr>
            <w:r>
              <w:rPr>
                <w:rFonts w:hint="eastAsia" w:ascii="楷体" w:hAnsi="楷体" w:eastAsia="楷体" w:cs="楷体"/>
                <w:kern w:val="2"/>
                <w:sz w:val="24"/>
                <w:szCs w:val="21"/>
                <w:lang w:val="en-US" w:eastAsia="zh-CN" w:bidi="ar"/>
              </w:rPr>
              <w:t>具体研究点包括：</w:t>
            </w:r>
          </w:p>
          <w:p>
            <w:pPr>
              <w:keepNext w:val="0"/>
              <w:keepLines w:val="0"/>
              <w:widowControl w:val="0"/>
              <w:numPr>
                <w:ilvl w:val="0"/>
                <w:numId w:val="4"/>
              </w:numPr>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b/>
                <w:bCs w:val="0"/>
                <w:kern w:val="2"/>
                <w:sz w:val="24"/>
                <w:szCs w:val="21"/>
                <w:lang w:val="en-US" w:eastAsia="zh-CN" w:bidi="ar"/>
              </w:rPr>
            </w:pPr>
            <w:r>
              <w:rPr>
                <w:rFonts w:hint="eastAsia" w:ascii="楷体" w:hAnsi="楷体" w:eastAsia="楷体" w:cs="楷体"/>
                <w:b/>
                <w:bCs w:val="0"/>
                <w:kern w:val="2"/>
                <w:sz w:val="24"/>
                <w:szCs w:val="21"/>
                <w:lang w:val="en-US" w:eastAsia="zh-CN" w:bidi="ar"/>
              </w:rPr>
              <w:t>刻画水污染预测场景上下文信息；</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b/>
                <w:bCs w:val="0"/>
                <w:sz w:val="24"/>
                <w:szCs w:val="21"/>
                <w:lang w:val="en-US"/>
              </w:rPr>
            </w:pPr>
            <w:r>
              <w:rPr>
                <w:rFonts w:hint="eastAsia" w:ascii="楷体" w:hAnsi="楷体" w:eastAsia="楷体" w:cs="楷体"/>
                <w:b/>
                <w:bCs w:val="0"/>
                <w:kern w:val="2"/>
                <w:sz w:val="24"/>
                <w:szCs w:val="21"/>
                <w:lang w:val="en-US" w:eastAsia="zh-CN" w:bidi="ar"/>
              </w:rPr>
              <w:t>2）设计基于时空多特征建模的场景对象趋势预测算法。</w:t>
            </w:r>
          </w:p>
          <w:p>
            <w:pPr>
              <w:keepNext w:val="0"/>
              <w:keepLines w:val="0"/>
              <w:widowControl w:val="0"/>
              <w:suppressLineNumbers w:val="0"/>
              <w:spacing w:before="0" w:beforeAutospacing="0" w:after="0" w:afterAutospacing="0" w:line="360" w:lineRule="auto"/>
              <w:ind w:left="0" w:right="0"/>
              <w:jc w:val="both"/>
              <w:outlineLvl w:val="0"/>
              <w:rPr>
                <w:rFonts w:hint="default" w:ascii="Times New Roman" w:hAnsi="Times New Roman" w:cs="Times New Roman"/>
                <w:b/>
                <w:bCs w:val="0"/>
                <w:sz w:val="24"/>
                <w:szCs w:val="21"/>
                <w:lang w:val="en-US"/>
              </w:rPr>
            </w:pPr>
          </w:p>
          <w:p>
            <w:pPr>
              <w:keepNext w:val="0"/>
              <w:keepLines w:val="0"/>
              <w:widowControl w:val="0"/>
              <w:numPr>
                <w:ilvl w:val="0"/>
                <w:numId w:val="2"/>
              </w:numPr>
              <w:suppressLineNumbers w:val="0"/>
              <w:snapToGrid w:val="0"/>
              <w:spacing w:before="0" w:beforeAutospacing="0" w:after="0" w:afterAutospacing="0" w:line="440" w:lineRule="exact"/>
              <w:ind w:left="420" w:leftChars="0" w:right="0" w:hanging="420" w:firstLineChars="0"/>
              <w:jc w:val="both"/>
              <w:rPr>
                <w:rFonts w:hint="eastAsia" w:ascii="楷体" w:hAnsi="楷体" w:eastAsia="楷体" w:cs="楷体"/>
                <w:kern w:val="2"/>
                <w:sz w:val="24"/>
                <w:szCs w:val="21"/>
                <w:lang w:val="en-US" w:eastAsia="zh-CN" w:bidi="ar"/>
              </w:rPr>
            </w:pPr>
            <w:r>
              <w:rPr>
                <w:rFonts w:hint="eastAsia" w:ascii="楷体" w:hAnsi="楷体" w:eastAsia="楷体" w:cs="楷体"/>
                <w:b/>
                <w:bCs w:val="0"/>
                <w:kern w:val="2"/>
                <w:sz w:val="24"/>
                <w:szCs w:val="21"/>
                <w:lang w:val="en-US" w:eastAsia="zh-CN" w:bidi="ar"/>
              </w:rPr>
              <w:t>面向可扩展场景的水污染事件溯源机制与技术</w:t>
            </w:r>
          </w:p>
          <w:p>
            <w:pPr>
              <w:keepNext w:val="0"/>
              <w:keepLines w:val="0"/>
              <w:widowControl w:val="0"/>
              <w:suppressLineNumbers w:val="0"/>
              <w:snapToGrid w:val="0"/>
              <w:spacing w:before="0" w:beforeAutospacing="0" w:after="0" w:afterAutospacing="0" w:line="440" w:lineRule="exact"/>
              <w:ind w:right="0" w:firstLine="472" w:firstLineChars="200"/>
              <w:jc w:val="both"/>
              <w:rPr>
                <w:rFonts w:hint="eastAsia" w:ascii="楷体" w:hAnsi="楷体" w:eastAsia="楷体" w:cs="楷体"/>
                <w:kern w:val="2"/>
                <w:sz w:val="24"/>
                <w:szCs w:val="21"/>
                <w:lang w:val="en-US" w:eastAsia="zh-CN" w:bidi="ar"/>
              </w:rPr>
            </w:pPr>
            <w:r>
              <w:rPr>
                <w:rFonts w:hint="eastAsia" w:ascii="楷体" w:hAnsi="楷体" w:eastAsia="楷体" w:cs="楷体"/>
                <w:kern w:val="2"/>
                <w:sz w:val="24"/>
                <w:szCs w:val="21"/>
                <w:lang w:val="en-US" w:eastAsia="zh-CN" w:bidi="ar"/>
              </w:rPr>
              <w:t>水污染事件溯源过程中存在诸多不确定性因素，包括污染源排放的随机性、突发性、污染物种类、持续时间等。面对不确定性所带来的建模困难，很多现有溯源方法专注于单一流域建模与参数率定，将不确定性限制在可控范围，导致该类溯源方法迁移能力差、可扩展性能差。因此，我们需研究如何利用污染事件数据流本征特性，构建面向可扩展场景的通用水污染事件溯源机制。项目拟从流域概化与划分入手，简化自然河流，而后设计水污染事件溯源递归工作流，最后研究固定及突发污染源溯源技术，以数据驱动的贝叶斯概率推断形式求解污染源信息。该机制的设计通过简化河流水文复杂性、结合智能与物理模型优点、以数据挖掘出的水利知识驱动，提升了机制的适用性与可解释性。此外，该机制拟构建于概率框架之上，流域扩展仅需增加概率网络深度，大幅提升了机制的可扩展性。</w:t>
            </w:r>
          </w:p>
          <w:p>
            <w:pPr>
              <w:keepNext w:val="0"/>
              <w:keepLines w:val="0"/>
              <w:widowControl w:val="0"/>
              <w:suppressLineNumbers w:val="0"/>
              <w:snapToGrid w:val="0"/>
              <w:spacing w:before="0" w:beforeAutospacing="0" w:after="0" w:afterAutospacing="0" w:line="440" w:lineRule="exact"/>
              <w:ind w:right="0" w:firstLine="472" w:firstLineChars="200"/>
              <w:jc w:val="both"/>
              <w:rPr>
                <w:rFonts w:hint="default" w:ascii="楷体" w:hAnsi="楷体" w:eastAsia="楷体" w:cs="楷体"/>
                <w:kern w:val="2"/>
                <w:sz w:val="24"/>
                <w:szCs w:val="21"/>
                <w:lang w:val="en-US" w:eastAsia="zh-CN" w:bidi="ar"/>
              </w:rPr>
            </w:pPr>
            <w:r>
              <w:rPr>
                <w:rFonts w:hint="eastAsia" w:ascii="楷体" w:hAnsi="楷体" w:eastAsia="楷体" w:cs="楷体"/>
                <w:kern w:val="2"/>
                <w:sz w:val="24"/>
                <w:szCs w:val="21"/>
                <w:lang w:val="en-US" w:eastAsia="zh-CN" w:bidi="ar"/>
              </w:rPr>
              <w:t>在已掌握历史排放数据情况下，固定污染源溯源技术在多时间尺度上，挖掘某污染源历史排放数据中某一子时间序列上的排放模式，进而通过与当前排行数据模式匹配，确定其是否当前污染源。突发污染源溯源技术先利用</w:t>
            </w:r>
            <w:r>
              <w:rPr>
                <w:rFonts w:hint="eastAsia" w:ascii="楷体" w:hAnsi="楷体" w:eastAsia="楷体" w:cs="楷体"/>
                <w:b/>
                <w:bCs w:val="0"/>
                <w:kern w:val="2"/>
                <w:sz w:val="24"/>
                <w:szCs w:val="21"/>
                <w:lang w:val="en-US" w:eastAsia="zh-CN" w:bidi="ar"/>
              </w:rPr>
              <w:t>趋势预测技术</w:t>
            </w:r>
            <w:r>
              <w:rPr>
                <w:rFonts w:hint="eastAsia" w:ascii="楷体" w:hAnsi="楷体" w:eastAsia="楷体" w:cs="楷体"/>
                <w:kern w:val="2"/>
                <w:sz w:val="24"/>
                <w:szCs w:val="21"/>
                <w:lang w:val="en-US" w:eastAsia="zh-CN" w:bidi="ar"/>
              </w:rPr>
              <w:t>为污染物浓度的随流输移效应构建描述模型，后通过流域概化图节点污染物浓度的概率递归反向推断，以置信度形式提供可能的污染源信息，即污染源潜在的概化图断面位置，供后期人工排查。</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sz w:val="24"/>
                <w:szCs w:val="21"/>
                <w:lang w:val="en-US"/>
              </w:rPr>
            </w:pPr>
            <w:r>
              <w:rPr>
                <w:rFonts w:hint="eastAsia" w:ascii="楷体" w:hAnsi="楷体" w:eastAsia="楷体" w:cs="楷体"/>
                <w:kern w:val="2"/>
                <w:sz w:val="24"/>
                <w:szCs w:val="21"/>
                <w:lang w:val="en-US" w:eastAsia="zh-CN" w:bidi="ar"/>
              </w:rPr>
              <w:t>具体研究点包括：</w:t>
            </w:r>
          </w:p>
          <w:p>
            <w:pPr>
              <w:keepNext w:val="0"/>
              <w:keepLines w:val="0"/>
              <w:widowControl w:val="0"/>
              <w:numPr>
                <w:ilvl w:val="0"/>
                <w:numId w:val="5"/>
              </w:numPr>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b/>
                <w:bCs w:val="0"/>
                <w:kern w:val="2"/>
                <w:sz w:val="24"/>
                <w:szCs w:val="21"/>
                <w:lang w:val="en-US" w:eastAsia="zh-CN" w:bidi="ar"/>
              </w:rPr>
            </w:pPr>
            <w:r>
              <w:rPr>
                <w:rFonts w:hint="eastAsia" w:ascii="楷体" w:hAnsi="楷体" w:eastAsia="楷体" w:cs="楷体"/>
                <w:b/>
                <w:bCs w:val="0"/>
                <w:kern w:val="2"/>
                <w:sz w:val="24"/>
                <w:szCs w:val="21"/>
                <w:lang w:val="en-US" w:eastAsia="zh-CN" w:bidi="ar"/>
              </w:rPr>
              <w:t>面向可扩展场景的水污染事件溯源机制；</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default" w:ascii="楷体" w:hAnsi="楷体" w:eastAsia="楷体" w:cs="楷体"/>
                <w:b/>
                <w:bCs w:val="0"/>
                <w:kern w:val="2"/>
                <w:sz w:val="24"/>
                <w:szCs w:val="21"/>
                <w:lang w:val="en-US" w:eastAsia="zh-CN" w:bidi="ar"/>
              </w:rPr>
            </w:pPr>
            <w:r>
              <w:rPr>
                <w:rFonts w:hint="eastAsia" w:ascii="楷体" w:hAnsi="楷体" w:eastAsia="楷体" w:cs="楷体"/>
                <w:b/>
                <w:bCs w:val="0"/>
                <w:kern w:val="2"/>
                <w:sz w:val="24"/>
                <w:szCs w:val="21"/>
                <w:lang w:val="en-US" w:eastAsia="zh-CN" w:bidi="ar"/>
              </w:rPr>
              <w:t>2）研究固定源水污染事件的多尺度模式挖掘与匹配技术；</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default" w:ascii="楷体" w:hAnsi="楷体" w:eastAsia="楷体" w:cs="楷体"/>
                <w:b/>
                <w:bCs w:val="0"/>
                <w:sz w:val="24"/>
                <w:szCs w:val="21"/>
                <w:lang w:val="en-US"/>
              </w:rPr>
            </w:pPr>
            <w:r>
              <w:rPr>
                <w:rFonts w:hint="eastAsia" w:ascii="楷体" w:hAnsi="楷体" w:eastAsia="楷体" w:cs="楷体"/>
                <w:b/>
                <w:bCs w:val="0"/>
                <w:kern w:val="2"/>
                <w:sz w:val="24"/>
                <w:szCs w:val="21"/>
                <w:lang w:val="en-US" w:eastAsia="zh-CN" w:bidi="ar"/>
              </w:rPr>
              <w:t>3）研究面向动态场景的突发水污染事件溯源技术。</w:t>
            </w:r>
          </w:p>
          <w:p>
            <w:pPr>
              <w:pStyle w:val="7"/>
              <w:keepNext w:val="0"/>
              <w:keepLines w:val="0"/>
              <w:widowControl w:val="0"/>
              <w:suppressLineNumbers w:val="0"/>
              <w:snapToGrid w:val="0"/>
              <w:spacing w:before="0" w:beforeAutospacing="0" w:after="0" w:afterAutospacing="0" w:line="440" w:lineRule="exact"/>
              <w:ind w:left="0" w:right="0" w:firstLine="0" w:firstLineChars="0"/>
              <w:jc w:val="both"/>
              <w:rPr>
                <w:rFonts w:hint="eastAsia" w:ascii="楷体" w:hAnsi="楷体" w:eastAsia="楷体" w:cs="楷体"/>
                <w:sz w:val="24"/>
                <w:szCs w:val="24"/>
                <w:lang w:val="en-US"/>
              </w:rPr>
            </w:pPr>
          </w:p>
          <w:p>
            <w:pPr>
              <w:keepNext w:val="0"/>
              <w:keepLines w:val="0"/>
              <w:widowControl w:val="0"/>
              <w:numPr>
                <w:ilvl w:val="0"/>
                <w:numId w:val="2"/>
              </w:numPr>
              <w:suppressLineNumbers w:val="0"/>
              <w:snapToGrid w:val="0"/>
              <w:spacing w:before="0" w:beforeAutospacing="0" w:after="0" w:afterAutospacing="0" w:line="440" w:lineRule="exact"/>
              <w:ind w:left="420" w:leftChars="0" w:right="0" w:hanging="420" w:firstLineChars="0"/>
              <w:jc w:val="both"/>
              <w:rPr>
                <w:rFonts w:hint="eastAsia" w:ascii="楷体" w:hAnsi="楷体" w:eastAsia="楷体" w:cs="楷体"/>
                <w:b/>
                <w:bCs w:val="0"/>
                <w:kern w:val="2"/>
                <w:sz w:val="24"/>
                <w:szCs w:val="21"/>
                <w:lang w:val="en-US" w:eastAsia="zh-CN" w:bidi="ar"/>
              </w:rPr>
            </w:pPr>
            <w:r>
              <w:rPr>
                <w:rFonts w:hint="eastAsia" w:ascii="楷体" w:hAnsi="楷体" w:eastAsia="楷体" w:cs="楷体"/>
                <w:b/>
                <w:bCs w:val="0"/>
                <w:kern w:val="2"/>
                <w:sz w:val="24"/>
                <w:szCs w:val="21"/>
                <w:lang w:val="en-US" w:eastAsia="zh-CN" w:bidi="ar"/>
              </w:rPr>
              <w:t>面向多目标与多利益主体的截污调蓄设施优化调度技术</w:t>
            </w:r>
          </w:p>
          <w:p>
            <w:pPr>
              <w:keepNext w:val="0"/>
              <w:keepLines w:val="0"/>
              <w:widowControl w:val="0"/>
              <w:suppressLineNumbers w:val="0"/>
              <w:snapToGrid w:val="0"/>
              <w:spacing w:before="0" w:beforeAutospacing="0" w:after="0" w:afterAutospacing="0" w:line="440" w:lineRule="exact"/>
              <w:ind w:right="0" w:firstLine="472" w:firstLineChars="200"/>
              <w:jc w:val="both"/>
              <w:rPr>
                <w:rFonts w:hint="default" w:ascii="楷体" w:hAnsi="楷体" w:eastAsia="楷体" w:cs="楷体"/>
                <w:kern w:val="2"/>
                <w:sz w:val="24"/>
                <w:szCs w:val="21"/>
                <w:lang w:val="en-US" w:eastAsia="zh-CN" w:bidi="ar"/>
              </w:rPr>
            </w:pPr>
            <w:r>
              <w:rPr>
                <w:rFonts w:hint="eastAsia" w:ascii="楷体" w:hAnsi="楷体" w:eastAsia="楷体" w:cs="楷体"/>
                <w:kern w:val="2"/>
                <w:sz w:val="24"/>
                <w:szCs w:val="21"/>
                <w:lang w:val="en-US" w:eastAsia="zh-CN" w:bidi="ar"/>
              </w:rPr>
              <w:t>上述研究内容从趋势预测、模式挖掘和污染溯源三方面，对污染事件调度优化所需信息开展了技术研究。但在实际应用中，这些信息的杂乱组织和复杂呈现形式，会阻碍合理调度决策形成。项目拟</w:t>
            </w:r>
            <w:r>
              <w:rPr>
                <w:rFonts w:hint="default" w:ascii="楷体" w:hAnsi="楷体" w:eastAsia="楷体" w:cs="楷体"/>
                <w:kern w:val="2"/>
                <w:sz w:val="24"/>
                <w:szCs w:val="21"/>
                <w:lang w:val="en-US" w:eastAsia="zh-CN" w:bidi="ar"/>
              </w:rPr>
              <w:t>以</w:t>
            </w:r>
            <w:r>
              <w:rPr>
                <w:rFonts w:hint="eastAsia" w:ascii="楷体" w:hAnsi="楷体" w:eastAsia="楷体" w:cs="楷体"/>
                <w:kern w:val="2"/>
                <w:sz w:val="24"/>
                <w:szCs w:val="21"/>
                <w:lang w:val="en-US" w:eastAsia="zh-CN" w:bidi="ar"/>
              </w:rPr>
              <w:t>上步所建流域概化图节点的</w:t>
            </w:r>
            <w:r>
              <w:rPr>
                <w:rFonts w:hint="default" w:ascii="楷体" w:hAnsi="楷体" w:eastAsia="楷体" w:cs="楷体"/>
                <w:kern w:val="2"/>
                <w:sz w:val="24"/>
                <w:szCs w:val="21"/>
                <w:lang w:val="en-US" w:eastAsia="zh-CN" w:bidi="ar"/>
              </w:rPr>
              <w:t>拓扑关系组织</w:t>
            </w:r>
            <w:r>
              <w:rPr>
                <w:rFonts w:hint="eastAsia" w:ascii="楷体" w:hAnsi="楷体" w:eastAsia="楷体" w:cs="楷体"/>
                <w:kern w:val="2"/>
                <w:sz w:val="24"/>
                <w:szCs w:val="21"/>
                <w:lang w:val="en-US" w:eastAsia="zh-CN" w:bidi="ar"/>
              </w:rPr>
              <w:t>场景</w:t>
            </w:r>
            <w:r>
              <w:rPr>
                <w:rFonts w:hint="default" w:ascii="楷体" w:hAnsi="楷体" w:eastAsia="楷体" w:cs="楷体"/>
                <w:kern w:val="2"/>
                <w:sz w:val="24"/>
                <w:szCs w:val="21"/>
                <w:lang w:val="en-US" w:eastAsia="zh-CN" w:bidi="ar"/>
              </w:rPr>
              <w:t>实例化数据集，</w:t>
            </w:r>
            <w:r>
              <w:rPr>
                <w:rFonts w:hint="eastAsia" w:ascii="楷体" w:hAnsi="楷体" w:eastAsia="楷体" w:cs="楷体"/>
                <w:kern w:val="2"/>
                <w:sz w:val="24"/>
                <w:szCs w:val="21"/>
                <w:lang w:val="en-US" w:eastAsia="zh-CN" w:bidi="ar"/>
              </w:rPr>
              <w:t>构建时空栅格与面向对象的时空数据模型，形成调度场景的时空态势图谱，为后续调度方案生成提供简单化、模板化、动态化的时空数据组织形式。</w:t>
            </w:r>
          </w:p>
          <w:p>
            <w:pPr>
              <w:keepNext w:val="0"/>
              <w:keepLines w:val="0"/>
              <w:widowControl w:val="0"/>
              <w:suppressLineNumbers w:val="0"/>
              <w:snapToGrid w:val="0"/>
              <w:spacing w:before="0" w:beforeAutospacing="0" w:after="0" w:afterAutospacing="0" w:line="440" w:lineRule="exact"/>
              <w:ind w:right="0" w:firstLine="472" w:firstLineChars="200"/>
              <w:jc w:val="both"/>
              <w:rPr>
                <w:rFonts w:hint="eastAsia" w:ascii="楷体" w:hAnsi="楷体" w:eastAsia="楷体" w:cs="楷体"/>
                <w:kern w:val="2"/>
                <w:sz w:val="24"/>
                <w:szCs w:val="21"/>
                <w:lang w:val="en-US" w:eastAsia="zh-CN" w:bidi="ar"/>
              </w:rPr>
            </w:pPr>
            <w:r>
              <w:rPr>
                <w:rFonts w:hint="eastAsia" w:ascii="楷体" w:hAnsi="楷体" w:eastAsia="楷体" w:cs="楷体"/>
                <w:kern w:val="2"/>
                <w:sz w:val="24"/>
                <w:szCs w:val="21"/>
                <w:lang w:val="en-US" w:eastAsia="zh-CN" w:bidi="ar"/>
              </w:rPr>
              <w:t>水质净化</w:t>
            </w:r>
            <w:r>
              <w:rPr>
                <w:rFonts w:hint="eastAsia" w:ascii="楷体" w:hAnsi="楷体" w:eastAsia="楷体" w:cs="楷体"/>
                <w:kern w:val="2"/>
                <w:sz w:val="24"/>
                <w:szCs w:val="24"/>
                <w:lang w:val="en-US" w:eastAsia="zh-CN" w:bidi="ar"/>
              </w:rPr>
              <w:t>厂、排污泵、水闸、蓄水池等治污相关设施被称为</w:t>
            </w:r>
            <w:r>
              <w:rPr>
                <w:rFonts w:hint="eastAsia" w:ascii="楷体" w:hAnsi="楷体" w:eastAsia="楷体" w:cs="楷体"/>
                <w:kern w:val="2"/>
                <w:sz w:val="24"/>
                <w:szCs w:val="21"/>
                <w:lang w:val="en-US" w:eastAsia="zh-CN" w:bidi="ar"/>
              </w:rPr>
              <w:t>截污调蓄设施。它们与其他水利工程设施紧密配合，实现防洪、排涝、生态补水等目标，调度目标多。随着截污调蓄建设密集开展，决策变量增多。</w:t>
            </w:r>
            <w:r>
              <w:rPr>
                <w:rFonts w:hint="default" w:ascii="楷体" w:hAnsi="楷体" w:eastAsia="楷体" w:cs="楷体"/>
                <w:kern w:val="2"/>
                <w:sz w:val="24"/>
                <w:szCs w:val="21"/>
                <w:lang w:val="en-US" w:eastAsia="zh-CN" w:bidi="ar"/>
              </w:rPr>
              <w:t>河道水质受降雨量、</w:t>
            </w:r>
            <w:r>
              <w:rPr>
                <w:rFonts w:hint="eastAsia" w:ascii="楷体" w:hAnsi="楷体" w:eastAsia="楷体" w:cs="楷体"/>
                <w:kern w:val="2"/>
                <w:sz w:val="24"/>
                <w:szCs w:val="21"/>
                <w:lang w:val="en-US" w:eastAsia="zh-CN" w:bidi="ar"/>
              </w:rPr>
              <w:t>雨强、</w:t>
            </w:r>
            <w:r>
              <w:rPr>
                <w:rFonts w:hint="default" w:ascii="楷体" w:hAnsi="楷体" w:eastAsia="楷体" w:cs="楷体"/>
                <w:kern w:val="2"/>
                <w:sz w:val="24"/>
                <w:szCs w:val="21"/>
                <w:lang w:val="en-US" w:eastAsia="zh-CN" w:bidi="ar"/>
              </w:rPr>
              <w:t>水位、流量</w:t>
            </w:r>
            <w:r>
              <w:rPr>
                <w:rFonts w:hint="eastAsia" w:ascii="楷体" w:hAnsi="楷体" w:eastAsia="楷体" w:cs="楷体"/>
                <w:kern w:val="2"/>
                <w:sz w:val="24"/>
                <w:szCs w:val="21"/>
                <w:lang w:val="en-US" w:eastAsia="zh-CN" w:bidi="ar"/>
              </w:rPr>
              <w:t>、</w:t>
            </w:r>
            <w:r>
              <w:rPr>
                <w:rFonts w:hint="default" w:ascii="楷体" w:hAnsi="楷体" w:eastAsia="楷体" w:cs="楷体"/>
                <w:kern w:val="2"/>
                <w:sz w:val="24"/>
                <w:szCs w:val="21"/>
                <w:lang w:val="en-US" w:eastAsia="zh-CN" w:bidi="ar"/>
              </w:rPr>
              <w:t>河道底泥</w:t>
            </w:r>
            <w:r>
              <w:rPr>
                <w:rFonts w:hint="eastAsia" w:ascii="楷体" w:hAnsi="楷体" w:eastAsia="楷体" w:cs="楷体"/>
                <w:kern w:val="2"/>
                <w:sz w:val="24"/>
                <w:szCs w:val="21"/>
                <w:lang w:val="en-US" w:eastAsia="zh-CN" w:bidi="ar"/>
              </w:rPr>
              <w:t>、</w:t>
            </w:r>
            <w:r>
              <w:rPr>
                <w:rFonts w:hint="eastAsia" w:ascii="楷体" w:hAnsi="楷体" w:eastAsia="楷体" w:cs="楷体"/>
                <w:b/>
                <w:bCs/>
                <w:kern w:val="2"/>
                <w:sz w:val="24"/>
                <w:szCs w:val="21"/>
                <w:lang w:val="en-US" w:eastAsia="zh-CN" w:bidi="ar"/>
              </w:rPr>
              <w:t>追溯所得污染源位置</w:t>
            </w:r>
            <w:r>
              <w:rPr>
                <w:rFonts w:hint="eastAsia" w:ascii="楷体" w:hAnsi="楷体" w:eastAsia="楷体" w:cs="楷体"/>
                <w:kern w:val="2"/>
                <w:sz w:val="24"/>
                <w:szCs w:val="21"/>
                <w:lang w:val="en-US" w:eastAsia="zh-CN" w:bidi="ar"/>
              </w:rPr>
              <w:t>、浓度等因素影响，系统变量多。在调度目标多、决策变量多、系统变量多的情况下，基于动态规划算法的传统调度模型计算复杂度高，时效性存在缺陷。基于表征现状的时空态势图谱和表征未来变化趋势的</w:t>
            </w:r>
            <w:r>
              <w:rPr>
                <w:rFonts w:hint="eastAsia" w:ascii="楷体" w:hAnsi="楷体" w:eastAsia="楷体" w:cs="楷体"/>
                <w:b/>
                <w:bCs/>
                <w:kern w:val="2"/>
                <w:sz w:val="24"/>
                <w:szCs w:val="21"/>
                <w:lang w:val="en-US" w:eastAsia="zh-CN" w:bidi="ar"/>
              </w:rPr>
              <w:t>场景对象趋势预测</w:t>
            </w:r>
            <w:r>
              <w:rPr>
                <w:rFonts w:hint="eastAsia" w:ascii="楷体" w:hAnsi="楷体" w:eastAsia="楷体" w:cs="楷体"/>
                <w:kern w:val="2"/>
                <w:sz w:val="24"/>
                <w:szCs w:val="21"/>
                <w:lang w:val="en-US" w:eastAsia="zh-CN" w:bidi="ar"/>
              </w:rPr>
              <w:t>，项目拟从历史调度方案与传统调度模型所生成方案中，通过深度强化算法，学习能输出近似最优解的调度方案生成技术，高效地实现动态场景下调度方案的实时输出。</w:t>
            </w:r>
          </w:p>
          <w:p>
            <w:pPr>
              <w:keepNext w:val="0"/>
              <w:keepLines w:val="0"/>
              <w:widowControl w:val="0"/>
              <w:suppressLineNumbers w:val="0"/>
              <w:snapToGrid w:val="0"/>
              <w:spacing w:before="0" w:beforeAutospacing="0" w:after="0" w:afterAutospacing="0" w:line="440" w:lineRule="exact"/>
              <w:ind w:right="0" w:firstLine="472" w:firstLineChars="200"/>
              <w:jc w:val="both"/>
              <w:rPr>
                <w:rFonts w:hint="eastAsia" w:ascii="楷体" w:hAnsi="楷体" w:eastAsia="楷体" w:cs="楷体"/>
                <w:kern w:val="2"/>
                <w:sz w:val="24"/>
                <w:szCs w:val="21"/>
                <w:lang w:val="en-US" w:eastAsia="zh-CN" w:bidi="ar"/>
              </w:rPr>
            </w:pPr>
            <w:r>
              <w:rPr>
                <w:rFonts w:hint="eastAsia" w:ascii="楷体" w:hAnsi="楷体" w:eastAsia="楷体" w:cs="楷体"/>
                <w:kern w:val="2"/>
                <w:sz w:val="24"/>
                <w:szCs w:val="21"/>
                <w:lang w:val="en-US" w:eastAsia="zh-CN" w:bidi="ar"/>
              </w:rPr>
              <w:t>水利工程设施常隶属于不同利益主体，如水利局、水务集团、流域管理中心等。由于水污染事件治理是成本支出大的复杂工程，在各方利益存在部分冲突的背景下，各主体间公平的效益收入和成本支出分配是现有辅助决策系统难以解决的问题。我们拟从成本和收益的角度出发，利用强化学习估计多利益主体在不同合作程度情况下的效益收入和成本支出，为基于合作博弈理论的成本支出模型提供输入，进而为复杂博弈条件下辅助决策方案优化输出提供依据。</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sz w:val="24"/>
                <w:szCs w:val="21"/>
                <w:lang w:val="en-US"/>
              </w:rPr>
            </w:pPr>
            <w:r>
              <w:rPr>
                <w:rFonts w:hint="eastAsia" w:ascii="楷体" w:hAnsi="楷体" w:eastAsia="楷体" w:cs="楷体"/>
                <w:kern w:val="2"/>
                <w:sz w:val="24"/>
                <w:szCs w:val="21"/>
                <w:lang w:val="en-US" w:eastAsia="zh-CN" w:bidi="ar"/>
              </w:rPr>
              <w:t>具体研究点包括：</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default" w:ascii="楷体" w:hAnsi="楷体" w:eastAsia="楷体" w:cs="楷体"/>
                <w:b/>
                <w:bCs w:val="0"/>
                <w:kern w:val="2"/>
                <w:sz w:val="24"/>
                <w:szCs w:val="21"/>
                <w:lang w:val="en-US" w:eastAsia="zh-CN" w:bidi="ar"/>
              </w:rPr>
            </w:pPr>
            <w:r>
              <w:rPr>
                <w:rFonts w:hint="eastAsia" w:ascii="楷体" w:hAnsi="楷体" w:eastAsia="楷体" w:cs="楷体"/>
                <w:b/>
                <w:bCs w:val="0"/>
                <w:kern w:val="2"/>
                <w:sz w:val="24"/>
                <w:szCs w:val="21"/>
                <w:lang w:val="en-US" w:eastAsia="zh-CN" w:bidi="ar"/>
              </w:rPr>
              <w:t>1）设计水污染调度场景的时空态势图构建方法；</w:t>
            </w:r>
          </w:p>
          <w:p>
            <w:pPr>
              <w:keepNext w:val="0"/>
              <w:keepLines w:val="0"/>
              <w:widowControl w:val="0"/>
              <w:suppressLineNumbers w:val="0"/>
              <w:snapToGrid w:val="0"/>
              <w:spacing w:before="0" w:beforeAutospacing="0" w:after="0" w:afterAutospacing="0" w:line="440" w:lineRule="exact"/>
              <w:ind w:left="0" w:right="0" w:firstLine="461" w:firstLineChars="195"/>
              <w:jc w:val="both"/>
              <w:rPr>
                <w:rFonts w:hint="eastAsia" w:ascii="楷体" w:hAnsi="楷体" w:eastAsia="楷体" w:cs="楷体"/>
                <w:b/>
                <w:bCs w:val="0"/>
                <w:kern w:val="2"/>
                <w:sz w:val="24"/>
                <w:szCs w:val="21"/>
                <w:lang w:val="en-US" w:eastAsia="zh-CN" w:bidi="ar"/>
              </w:rPr>
            </w:pPr>
            <w:r>
              <w:rPr>
                <w:rFonts w:hint="eastAsia" w:ascii="楷体" w:hAnsi="楷体" w:eastAsia="楷体" w:cs="楷体"/>
                <w:b/>
                <w:bCs w:val="0"/>
                <w:kern w:val="2"/>
                <w:sz w:val="24"/>
                <w:szCs w:val="21"/>
                <w:lang w:val="en-US" w:eastAsia="zh-CN" w:bidi="ar"/>
              </w:rPr>
              <w:t xml:space="preserve">2）多目标动态调度截污调蓄设施方案高效生成技术； </w:t>
            </w:r>
          </w:p>
          <w:p>
            <w:pPr>
              <w:spacing w:line="360" w:lineRule="exact"/>
              <w:ind w:firstLine="472" w:firstLineChars="200"/>
              <w:jc w:val="left"/>
              <w:outlineLvl w:val="0"/>
              <w:rPr>
                <w:rFonts w:hint="eastAsia" w:ascii="楷体" w:hAnsi="楷体" w:eastAsia="楷体" w:cs="楷体"/>
                <w:b/>
                <w:bCs w:val="0"/>
                <w:kern w:val="2"/>
                <w:sz w:val="24"/>
                <w:szCs w:val="21"/>
                <w:lang w:val="en-US" w:eastAsia="zh-CN" w:bidi="ar"/>
              </w:rPr>
            </w:pPr>
            <w:r>
              <w:rPr>
                <w:rFonts w:hint="eastAsia" w:ascii="楷体" w:hAnsi="楷体" w:eastAsia="楷体" w:cs="楷体"/>
                <w:b/>
                <w:bCs w:val="0"/>
                <w:kern w:val="2"/>
                <w:sz w:val="24"/>
                <w:szCs w:val="21"/>
                <w:lang w:val="en-US" w:eastAsia="zh-CN" w:bidi="ar"/>
              </w:rPr>
              <w:t>3）面向多利益主体合作博弈的截污调蓄设施辅助决策技术。</w:t>
            </w:r>
          </w:p>
          <w:p>
            <w:pPr>
              <w:keepNext w:val="0"/>
              <w:keepLines w:val="0"/>
              <w:widowControl w:val="0"/>
              <w:suppressLineNumbers w:val="0"/>
              <w:snapToGrid w:val="0"/>
              <w:spacing w:before="0" w:beforeAutospacing="0" w:after="0" w:afterAutospacing="0" w:line="440" w:lineRule="exact"/>
              <w:ind w:left="0" w:right="0"/>
              <w:jc w:val="both"/>
              <w:rPr>
                <w:rFonts w:hint="eastAsia" w:ascii="楷体" w:hAnsi="楷体" w:eastAsia="楷体" w:cs="楷体"/>
                <w:b/>
                <w:bCs w:val="0"/>
                <w:color w:val="000000"/>
                <w:kern w:val="2"/>
                <w:sz w:val="24"/>
                <w:szCs w:val="21"/>
                <w:lang w:val="en-US" w:eastAsia="zh-CN" w:bidi="ar"/>
              </w:rPr>
            </w:pPr>
          </w:p>
          <w:p>
            <w:pPr>
              <w:keepNext w:val="0"/>
              <w:keepLines w:val="0"/>
              <w:widowControl w:val="0"/>
              <w:suppressLineNumbers w:val="0"/>
              <w:snapToGrid w:val="0"/>
              <w:spacing w:before="0" w:beforeAutospacing="0" w:after="0" w:afterAutospacing="0" w:line="440" w:lineRule="exact"/>
              <w:ind w:left="0" w:right="0"/>
              <w:jc w:val="both"/>
              <w:rPr>
                <w:rFonts w:hint="eastAsia" w:ascii="楷体" w:hAnsi="楷体" w:eastAsia="楷体" w:cs="楷体"/>
                <w:b/>
                <w:bCs w:val="0"/>
                <w:color w:val="000000"/>
                <w:kern w:val="2"/>
                <w:sz w:val="24"/>
                <w:szCs w:val="21"/>
                <w:lang w:val="en-US" w:eastAsia="zh-CN" w:bidi="ar"/>
              </w:rPr>
            </w:pPr>
            <w:r>
              <w:rPr>
                <w:rFonts w:hint="eastAsia" w:ascii="楷体" w:hAnsi="楷体" w:eastAsia="楷体" w:cs="楷体"/>
                <w:b/>
                <w:bCs w:val="0"/>
                <w:color w:val="000000"/>
                <w:kern w:val="2"/>
                <w:sz w:val="24"/>
                <w:szCs w:val="21"/>
                <w:lang w:val="en-US" w:eastAsia="zh-CN" w:bidi="ar"/>
              </w:rPr>
              <w:t>4.3预期研究成果</w:t>
            </w:r>
          </w:p>
          <w:p>
            <w:pPr>
              <w:pStyle w:val="7"/>
              <w:keepNext w:val="0"/>
              <w:keepLines w:val="0"/>
              <w:widowControl w:val="0"/>
              <w:numPr>
                <w:ilvl w:val="0"/>
                <w:numId w:val="0"/>
              </w:numPr>
              <w:suppressLineNumbers w:val="0"/>
              <w:snapToGrid w:val="0"/>
              <w:spacing w:before="120" w:beforeAutospacing="0" w:after="0" w:afterAutospacing="0" w:line="440" w:lineRule="exact"/>
              <w:ind w:right="0" w:rightChars="0" w:firstLine="472" w:firstLineChars="200"/>
              <w:jc w:val="both"/>
              <w:rPr>
                <w:rFonts w:hint="default" w:ascii="楷体" w:hAnsi="楷体" w:eastAsia="楷体" w:cs="楷体"/>
                <w:color w:val="000000"/>
                <w:kern w:val="2"/>
                <w:sz w:val="24"/>
                <w:szCs w:val="24"/>
                <w:lang w:val="en-US" w:eastAsia="zh-CN" w:bidi="ar"/>
              </w:rPr>
            </w:pPr>
            <w:r>
              <w:rPr>
                <w:rFonts w:hint="eastAsia" w:ascii="楷体" w:hAnsi="楷体" w:eastAsia="楷体" w:cs="楷体"/>
                <w:color w:val="000000"/>
                <w:kern w:val="2"/>
                <w:sz w:val="24"/>
                <w:szCs w:val="24"/>
                <w:lang w:val="en-US" w:eastAsia="zh-CN" w:bidi="ar"/>
              </w:rPr>
              <w:t>本项目预期研究成果主要包括：</w:t>
            </w:r>
          </w:p>
          <w:p>
            <w:pPr>
              <w:pStyle w:val="7"/>
              <w:keepNext w:val="0"/>
              <w:keepLines w:val="0"/>
              <w:widowControl w:val="0"/>
              <w:numPr>
                <w:ilvl w:val="0"/>
                <w:numId w:val="0"/>
              </w:numPr>
              <w:suppressLineNumbers w:val="0"/>
              <w:snapToGrid w:val="0"/>
              <w:spacing w:before="120" w:beforeAutospacing="0" w:after="0" w:afterAutospacing="0" w:line="440" w:lineRule="exact"/>
              <w:ind w:leftChars="0" w:right="0" w:rightChars="0" w:firstLine="472" w:firstLineChars="200"/>
              <w:jc w:val="both"/>
              <w:rPr>
                <w:rFonts w:hint="eastAsia" w:ascii="楷体" w:hAnsi="楷体" w:eastAsia="楷体" w:cs="楷体"/>
                <w:color w:val="000000"/>
                <w:kern w:val="2"/>
                <w:sz w:val="24"/>
                <w:szCs w:val="24"/>
                <w:lang w:val="en-US" w:eastAsia="zh-CN" w:bidi="ar"/>
              </w:rPr>
            </w:pPr>
            <w:r>
              <w:rPr>
                <w:rFonts w:hint="eastAsia" w:ascii="楷体" w:hAnsi="楷体" w:eastAsia="楷体" w:cs="楷体"/>
                <w:color w:val="000000"/>
                <w:kern w:val="2"/>
                <w:sz w:val="24"/>
                <w:szCs w:val="24"/>
                <w:lang w:val="en-US" w:eastAsia="zh-CN" w:bidi="ar"/>
              </w:rPr>
              <w:t>1)完成“面向领域智能的水污染事件分析-溯源-调度技术研究”的研究报告；</w:t>
            </w:r>
          </w:p>
          <w:p>
            <w:pPr>
              <w:pStyle w:val="7"/>
              <w:keepNext w:val="0"/>
              <w:keepLines w:val="0"/>
              <w:widowControl w:val="0"/>
              <w:numPr>
                <w:ilvl w:val="0"/>
                <w:numId w:val="0"/>
              </w:numPr>
              <w:suppressLineNumbers w:val="0"/>
              <w:snapToGrid w:val="0"/>
              <w:spacing w:before="120" w:beforeAutospacing="0" w:after="0" w:afterAutospacing="0" w:line="440" w:lineRule="exact"/>
              <w:ind w:leftChars="0" w:right="0" w:rightChars="0" w:firstLine="472" w:firstLineChars="200"/>
              <w:jc w:val="both"/>
              <w:rPr>
                <w:rFonts w:hint="eastAsia" w:ascii="楷体" w:hAnsi="楷体" w:eastAsia="楷体" w:cs="楷体"/>
                <w:color w:val="000000"/>
                <w:kern w:val="2"/>
                <w:sz w:val="24"/>
                <w:szCs w:val="24"/>
                <w:lang w:val="en-US" w:eastAsia="zh-CN" w:bidi="ar"/>
              </w:rPr>
            </w:pPr>
            <w:r>
              <w:rPr>
                <w:rFonts w:hint="eastAsia" w:ascii="楷体" w:hAnsi="楷体" w:eastAsia="楷体" w:cs="楷体"/>
                <w:color w:val="000000"/>
                <w:kern w:val="2"/>
                <w:sz w:val="24"/>
                <w:szCs w:val="24"/>
                <w:lang w:val="en-US" w:eastAsia="zh-CN" w:bidi="ar"/>
              </w:rPr>
              <w:t>2)系统开发成果：在深圳布吉河构建水污染事件分析-溯源-决策平台，为国内外的研发、商业机构提供技术支持，实现技术转化；</w:t>
            </w:r>
          </w:p>
          <w:p>
            <w:pPr>
              <w:pStyle w:val="7"/>
              <w:keepNext w:val="0"/>
              <w:keepLines w:val="0"/>
              <w:widowControl w:val="0"/>
              <w:numPr>
                <w:ilvl w:val="0"/>
                <w:numId w:val="0"/>
              </w:numPr>
              <w:suppressLineNumbers w:val="0"/>
              <w:snapToGrid w:val="0"/>
              <w:spacing w:before="120" w:beforeAutospacing="0" w:after="0" w:afterAutospacing="0" w:line="440" w:lineRule="exact"/>
              <w:ind w:leftChars="0" w:right="0" w:rightChars="0" w:firstLine="472" w:firstLineChars="200"/>
              <w:jc w:val="both"/>
              <w:rPr>
                <w:rFonts w:hint="eastAsia" w:ascii="楷体" w:hAnsi="楷体" w:eastAsia="楷体" w:cs="楷体"/>
                <w:color w:val="000000"/>
                <w:kern w:val="2"/>
                <w:sz w:val="24"/>
                <w:szCs w:val="24"/>
                <w:lang w:val="en-US" w:eastAsia="zh-CN" w:bidi="ar"/>
              </w:rPr>
            </w:pPr>
            <w:r>
              <w:rPr>
                <w:rFonts w:hint="eastAsia" w:ascii="楷体" w:hAnsi="楷体" w:eastAsia="楷体" w:cs="楷体"/>
                <w:color w:val="000000"/>
                <w:kern w:val="2"/>
                <w:sz w:val="24"/>
                <w:szCs w:val="24"/>
                <w:lang w:val="en-US" w:eastAsia="zh-CN" w:bidi="ar"/>
              </w:rPr>
              <w:t>3)理论研究成果：在领域智能的重要刊物和会议上发表10篇学术论文，包括</w:t>
            </w:r>
            <w:r>
              <w:rPr>
                <w:rFonts w:hint="default" w:ascii="Times New Roman" w:hAnsi="Times New Roman" w:eastAsia="楷体" w:cs="Times New Roman"/>
                <w:color w:val="000000"/>
                <w:kern w:val="2"/>
                <w:sz w:val="24"/>
                <w:szCs w:val="24"/>
                <w:lang w:val="en-US" w:eastAsia="zh-CN" w:bidi="ar"/>
              </w:rPr>
              <w:t>CCF-B</w:t>
            </w:r>
            <w:r>
              <w:rPr>
                <w:rFonts w:hint="eastAsia" w:ascii="楷体" w:hAnsi="楷体" w:eastAsia="楷体" w:cs="楷体"/>
                <w:color w:val="000000"/>
                <w:kern w:val="2"/>
                <w:sz w:val="24"/>
                <w:szCs w:val="24"/>
                <w:lang w:val="en-US" w:eastAsia="zh-CN" w:bidi="ar"/>
              </w:rPr>
              <w:t>以上论文3篇；参加4次与研究项目有关的国际或国内大型学术会议；</w:t>
            </w:r>
          </w:p>
          <w:p>
            <w:pPr>
              <w:pStyle w:val="7"/>
              <w:keepNext w:val="0"/>
              <w:keepLines w:val="0"/>
              <w:widowControl w:val="0"/>
              <w:numPr>
                <w:ilvl w:val="0"/>
                <w:numId w:val="0"/>
              </w:numPr>
              <w:suppressLineNumbers w:val="0"/>
              <w:snapToGrid w:val="0"/>
              <w:spacing w:before="120" w:beforeAutospacing="0" w:after="0" w:afterAutospacing="0" w:line="440" w:lineRule="exact"/>
              <w:ind w:leftChars="0" w:right="0" w:rightChars="0" w:firstLine="472" w:firstLineChars="200"/>
              <w:jc w:val="both"/>
              <w:rPr>
                <w:rFonts w:hint="eastAsia" w:ascii="楷体" w:hAnsi="楷体" w:eastAsia="楷体" w:cs="楷体"/>
                <w:color w:val="000000"/>
                <w:kern w:val="2"/>
                <w:sz w:val="24"/>
                <w:szCs w:val="24"/>
                <w:lang w:val="en-US" w:eastAsia="zh-CN" w:bidi="ar"/>
              </w:rPr>
            </w:pPr>
            <w:r>
              <w:rPr>
                <w:rFonts w:hint="eastAsia" w:ascii="楷体" w:hAnsi="楷体" w:eastAsia="楷体" w:cs="楷体"/>
                <w:color w:val="000000"/>
                <w:kern w:val="2"/>
                <w:sz w:val="24"/>
                <w:szCs w:val="24"/>
                <w:lang w:val="en-US" w:eastAsia="zh-CN" w:bidi="ar"/>
              </w:rPr>
              <w:t>4)知识产权成果：受理5项相关中国发明专利与软件著作</w:t>
            </w:r>
          </w:p>
          <w:p>
            <w:pPr>
              <w:pStyle w:val="7"/>
              <w:keepNext w:val="0"/>
              <w:keepLines w:val="0"/>
              <w:widowControl w:val="0"/>
              <w:numPr>
                <w:ilvl w:val="0"/>
                <w:numId w:val="0"/>
              </w:numPr>
              <w:suppressLineNumbers w:val="0"/>
              <w:snapToGrid w:val="0"/>
              <w:spacing w:before="120" w:beforeAutospacing="0" w:after="0" w:afterAutospacing="0" w:line="440" w:lineRule="exact"/>
              <w:ind w:leftChars="0" w:right="0" w:rightChars="0" w:firstLine="472" w:firstLineChars="200"/>
              <w:jc w:val="both"/>
              <w:rPr>
                <w:rFonts w:hint="eastAsia" w:ascii="楷体" w:hAnsi="楷体" w:eastAsia="楷体" w:cs="楷体"/>
                <w:color w:val="000000"/>
                <w:kern w:val="2"/>
                <w:sz w:val="24"/>
                <w:szCs w:val="24"/>
                <w:lang w:val="en-US" w:eastAsia="zh-CN" w:bidi="ar"/>
              </w:rPr>
            </w:pPr>
            <w:r>
              <w:rPr>
                <w:rFonts w:hint="eastAsia" w:ascii="楷体" w:hAnsi="楷体" w:eastAsia="楷体" w:cs="楷体"/>
                <w:color w:val="000000"/>
                <w:kern w:val="2"/>
                <w:sz w:val="24"/>
                <w:szCs w:val="24"/>
                <w:lang w:val="en-US" w:eastAsia="zh-CN" w:bidi="ar"/>
              </w:rPr>
              <w:t>5)人才培养：培养8～10名硕士、博士研究生。</w:t>
            </w:r>
          </w:p>
          <w:p>
            <w:pPr>
              <w:spacing w:line="360" w:lineRule="exact"/>
              <w:jc w:val="left"/>
              <w:outlineLvl w:val="0"/>
              <w:rPr>
                <w:rFonts w:hint="eastAsia" w:ascii="楷体" w:hAnsi="楷体" w:eastAsia="楷体" w:cs="楷体"/>
                <w:b/>
                <w:bCs w:val="0"/>
                <w:kern w:val="2"/>
                <w:sz w:val="24"/>
                <w:szCs w:val="21"/>
                <w:lang w:val="en-US" w:eastAsia="zh-CN" w:bidi="ar"/>
              </w:rPr>
            </w:pPr>
          </w:p>
        </w:tc>
      </w:tr>
    </w:tbl>
    <w:p>
      <w:pPr>
        <w:spacing w:line="360" w:lineRule="exact"/>
        <w:jc w:val="left"/>
        <w:outlineLvl w:val="0"/>
        <w:rPr>
          <w:b/>
          <w:sz w:val="28"/>
        </w:rPr>
      </w:pPr>
    </w:p>
    <w:p>
      <w:pPr>
        <w:outlineLvl w:val="0"/>
        <w:rPr>
          <w:rFonts w:ascii="宋体" w:hAnsi="宋体" w:eastAsia="宋体"/>
          <w:b/>
          <w:sz w:val="30"/>
        </w:rPr>
      </w:pPr>
      <w:r>
        <w:rPr>
          <w:rFonts w:hint="eastAsia" w:ascii="宋体" w:hAnsi="宋体" w:eastAsia="宋体"/>
          <w:b/>
          <w:sz w:val="30"/>
        </w:rPr>
        <w:t>五</w:t>
      </w:r>
      <w:r>
        <w:rPr>
          <w:rFonts w:ascii="宋体" w:hAnsi="宋体" w:eastAsia="宋体"/>
          <w:b/>
          <w:sz w:val="30"/>
        </w:rPr>
        <w:t>、申请人</w:t>
      </w:r>
      <w:r>
        <w:rPr>
          <w:rFonts w:hint="eastAsia" w:ascii="宋体" w:hAnsi="宋体" w:eastAsia="宋体"/>
          <w:b/>
          <w:sz w:val="30"/>
        </w:rPr>
        <w:t>承诺</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33" w:type="dxa"/>
          </w:tcPr>
          <w:p>
            <w:pPr>
              <w:spacing w:line="480" w:lineRule="auto"/>
              <w:rPr>
                <w:rFonts w:ascii="宋体" w:hAnsi="宋体" w:eastAsia="宋体"/>
                <w:sz w:val="28"/>
                <w:szCs w:val="28"/>
              </w:rPr>
            </w:pPr>
          </w:p>
          <w:p>
            <w:pPr>
              <w:spacing w:line="480" w:lineRule="auto"/>
              <w:ind w:firstLine="552" w:firstLineChars="200"/>
              <w:rPr>
                <w:rFonts w:ascii="宋体" w:hAnsi="宋体" w:eastAsia="宋体"/>
                <w:sz w:val="28"/>
                <w:szCs w:val="28"/>
              </w:rPr>
            </w:pPr>
            <w:r>
              <w:rPr>
                <w:rFonts w:ascii="宋体" w:hAnsi="宋体" w:eastAsia="宋体"/>
                <w:sz w:val="28"/>
                <w:szCs w:val="28"/>
              </w:rPr>
              <w:t>我自愿申报</w:t>
            </w:r>
            <w:r>
              <w:rPr>
                <w:rFonts w:hint="eastAsia" w:ascii="宋体" w:hAnsi="宋体" w:eastAsia="宋体"/>
                <w:sz w:val="28"/>
                <w:szCs w:val="28"/>
                <w:u w:val="single"/>
              </w:rPr>
              <w:t>青年教授</w:t>
            </w:r>
            <w:r>
              <w:rPr>
                <w:rFonts w:ascii="宋体" w:hAnsi="宋体" w:eastAsia="宋体"/>
                <w:sz w:val="28"/>
                <w:szCs w:val="28"/>
              </w:rPr>
              <w:t>岗位，我保证对本表中本人所提供的信息真实、准确，并愿意承担由于本人所提供的信息虚假带来的一切责任和后果。</w:t>
            </w:r>
          </w:p>
          <w:p>
            <w:pPr>
              <w:spacing w:line="480" w:lineRule="auto"/>
              <w:jc w:val="center"/>
              <w:rPr>
                <w:rFonts w:ascii="宋体" w:hAnsi="宋体" w:eastAsia="宋体"/>
                <w:sz w:val="28"/>
                <w:szCs w:val="28"/>
              </w:rPr>
            </w:pPr>
            <w:r>
              <w:rPr>
                <w:rFonts w:ascii="宋体" w:hAnsi="宋体" w:eastAsia="宋体"/>
                <w:sz w:val="28"/>
                <w:szCs w:val="28"/>
              </w:rPr>
              <w:t>申请人签名：</w:t>
            </w:r>
            <w:r>
              <w:rPr>
                <w:rFonts w:ascii="宋体" w:hAnsi="宋体" w:eastAsia="宋体"/>
                <w:sz w:val="28"/>
                <w:szCs w:val="28"/>
                <w:u w:val="single"/>
              </w:rPr>
              <w:t xml:space="preserve">              </w:t>
            </w:r>
          </w:p>
          <w:p>
            <w:pPr>
              <w:spacing w:line="480" w:lineRule="auto"/>
              <w:jc w:val="center"/>
            </w:pPr>
            <w:r>
              <w:rPr>
                <w:rFonts w:ascii="宋体" w:hAnsi="宋体" w:eastAsia="宋体"/>
                <w:sz w:val="28"/>
                <w:szCs w:val="28"/>
              </w:rPr>
              <w:t xml:space="preserve">      日期：</w:t>
            </w:r>
            <w:r>
              <w:rPr>
                <w:rFonts w:ascii="宋体" w:hAnsi="宋体" w:eastAsia="宋体"/>
                <w:sz w:val="28"/>
                <w:szCs w:val="28"/>
                <w:u w:val="single"/>
              </w:rPr>
              <w:t xml:space="preserve">               </w:t>
            </w:r>
          </w:p>
          <w:p/>
        </w:tc>
      </w:tr>
    </w:tbl>
    <w:p>
      <w:pPr>
        <w:outlineLvl w:val="0"/>
        <w:rPr>
          <w:rFonts w:ascii="宋体" w:hAnsi="宋体" w:eastAsia="宋体"/>
          <w:b/>
          <w:sz w:val="30"/>
        </w:rPr>
      </w:pPr>
      <w:r>
        <w:rPr>
          <w:rFonts w:hint="eastAsia" w:ascii="宋体" w:hAnsi="宋体" w:eastAsia="宋体"/>
          <w:b/>
          <w:sz w:val="30"/>
        </w:rPr>
        <w:t>六、</w:t>
      </w:r>
      <w:r>
        <w:rPr>
          <w:rFonts w:ascii="宋体" w:hAnsi="宋体" w:eastAsia="宋体"/>
          <w:b/>
          <w:sz w:val="30"/>
        </w:rPr>
        <w:t>学院岗位聘用委员会意见</w:t>
      </w:r>
    </w:p>
    <w:tbl>
      <w:tblPr>
        <w:tblStyle w:val="9"/>
        <w:tblW w:w="8845" w:type="dxa"/>
        <w:tblInd w:w="8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247"/>
        <w:gridCol w:w="737"/>
        <w:gridCol w:w="737"/>
        <w:gridCol w:w="964"/>
        <w:gridCol w:w="737"/>
        <w:gridCol w:w="737"/>
        <w:gridCol w:w="737"/>
        <w:gridCol w:w="1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2" w:hRule="atLeast"/>
        </w:trPr>
        <w:tc>
          <w:tcPr>
            <w:tcW w:w="8845" w:type="dxa"/>
            <w:gridSpan w:val="9"/>
          </w:tcPr>
          <w:p>
            <w:pPr>
              <w:tabs>
                <w:tab w:val="left" w:pos="3360"/>
              </w:tabs>
              <w:spacing w:line="360" w:lineRule="exact"/>
              <w:rPr>
                <w:rFonts w:ascii="宋体" w:hAnsi="宋体" w:eastAsia="宋体"/>
                <w:sz w:val="21"/>
                <w:szCs w:val="21"/>
              </w:rPr>
            </w:pPr>
            <w:r>
              <w:rPr>
                <w:rFonts w:ascii="宋体" w:hAnsi="宋体" w:eastAsia="宋体"/>
                <w:sz w:val="21"/>
                <w:szCs w:val="21"/>
              </w:rPr>
              <w:t>（对申报人员任现职以来</w:t>
            </w:r>
            <w:r>
              <w:rPr>
                <w:rFonts w:hint="eastAsia" w:ascii="宋体" w:hAnsi="宋体" w:eastAsia="宋体"/>
                <w:sz w:val="21"/>
                <w:szCs w:val="21"/>
              </w:rPr>
              <w:t>政治</w:t>
            </w:r>
            <w:r>
              <w:rPr>
                <w:rFonts w:ascii="宋体" w:hAnsi="宋体" w:eastAsia="宋体"/>
                <w:sz w:val="21"/>
                <w:szCs w:val="21"/>
              </w:rPr>
              <w:t>素质、学术</w:t>
            </w:r>
            <w:r>
              <w:rPr>
                <w:rFonts w:hint="eastAsia" w:ascii="宋体" w:hAnsi="宋体" w:eastAsia="宋体"/>
                <w:sz w:val="21"/>
                <w:szCs w:val="21"/>
              </w:rPr>
              <w:t>道德</w:t>
            </w:r>
            <w:r>
              <w:rPr>
                <w:rFonts w:ascii="宋体" w:hAnsi="宋体" w:eastAsia="宋体"/>
                <w:sz w:val="21"/>
                <w:szCs w:val="21"/>
              </w:rPr>
              <w:t>、师德师风、履行岗位职责情况</w:t>
            </w:r>
            <w:r>
              <w:rPr>
                <w:rFonts w:hint="eastAsia" w:ascii="宋体" w:hAnsi="宋体" w:eastAsia="宋体"/>
                <w:sz w:val="21"/>
                <w:szCs w:val="21"/>
              </w:rPr>
              <w:t>、</w:t>
            </w:r>
            <w:r>
              <w:rPr>
                <w:rFonts w:ascii="宋体" w:hAnsi="宋体" w:eastAsia="宋体"/>
                <w:sz w:val="21"/>
                <w:szCs w:val="21"/>
              </w:rPr>
              <w:t>教学、科研</w:t>
            </w:r>
            <w:r>
              <w:rPr>
                <w:rFonts w:hint="eastAsia" w:ascii="宋体" w:hAnsi="宋体" w:eastAsia="宋体"/>
                <w:sz w:val="21"/>
                <w:szCs w:val="21"/>
              </w:rPr>
              <w:t>和社会</w:t>
            </w:r>
            <w:r>
              <w:rPr>
                <w:rFonts w:ascii="宋体" w:hAnsi="宋体" w:eastAsia="宋体"/>
                <w:sz w:val="21"/>
                <w:szCs w:val="21"/>
              </w:rPr>
              <w:t>服务等进行评议，形成推荐意见）</w:t>
            </w: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u w:val="single"/>
              </w:rPr>
            </w:pPr>
            <w:r>
              <w:rPr>
                <w:rFonts w:ascii="宋体" w:hAnsi="宋体" w:eastAsia="宋体"/>
                <w:sz w:val="21"/>
                <w:szCs w:val="21"/>
              </w:rPr>
              <w:t xml:space="preserve">                   </w:t>
            </w:r>
            <w:r>
              <w:rPr>
                <w:rFonts w:hint="eastAsia" w:ascii="宋体" w:hAnsi="宋体" w:eastAsia="宋体"/>
                <w:sz w:val="21"/>
                <w:szCs w:val="21"/>
              </w:rPr>
              <w:t xml:space="preserve">             </w:t>
            </w:r>
            <w:r>
              <w:rPr>
                <w:rFonts w:ascii="宋体" w:hAnsi="宋体" w:eastAsia="宋体"/>
                <w:sz w:val="21"/>
                <w:szCs w:val="21"/>
              </w:rPr>
              <w:t xml:space="preserve">   推荐岗位：</w:t>
            </w:r>
            <w:r>
              <w:rPr>
                <w:rFonts w:ascii="宋体" w:hAnsi="宋体" w:eastAsia="宋体"/>
                <w:sz w:val="21"/>
                <w:szCs w:val="21"/>
                <w:u w:val="single"/>
              </w:rPr>
              <w:t xml:space="preserve">                    </w:t>
            </w: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tabs>
                <w:tab w:val="left" w:pos="3360"/>
              </w:tabs>
              <w:spacing w:line="360" w:lineRule="exact"/>
              <w:rPr>
                <w:rFonts w:ascii="宋体" w:hAnsi="宋体" w:eastAsia="宋体"/>
                <w:sz w:val="21"/>
                <w:szCs w:val="21"/>
              </w:rPr>
            </w:pPr>
          </w:p>
          <w:p>
            <w:pPr>
              <w:jc w:val="left"/>
              <w:rPr>
                <w:rFonts w:ascii="宋体" w:hAnsi="宋体" w:eastAsia="宋体"/>
                <w:sz w:val="21"/>
                <w:szCs w:val="21"/>
              </w:rPr>
            </w:pPr>
            <w:r>
              <w:rPr>
                <w:rFonts w:ascii="宋体" w:hAnsi="宋体" w:eastAsia="宋体"/>
                <w:sz w:val="21"/>
                <w:szCs w:val="21"/>
              </w:rPr>
              <w:t xml:space="preserve">                            </w:t>
            </w:r>
            <w:r>
              <w:rPr>
                <w:rFonts w:hint="eastAsia" w:ascii="宋体" w:hAnsi="宋体" w:eastAsia="宋体"/>
                <w:sz w:val="21"/>
                <w:szCs w:val="21"/>
              </w:rPr>
              <w:t xml:space="preserve">      </w:t>
            </w:r>
            <w:r>
              <w:rPr>
                <w:rFonts w:ascii="宋体" w:hAnsi="宋体" w:eastAsia="宋体"/>
                <w:sz w:val="21"/>
                <w:szCs w:val="21"/>
              </w:rPr>
              <w:t xml:space="preserve"> 学院岗位聘用</w:t>
            </w:r>
          </w:p>
          <w:p>
            <w:pPr>
              <w:ind w:firstLine="3605" w:firstLineChars="1750"/>
              <w:jc w:val="left"/>
              <w:rPr>
                <w:rFonts w:ascii="宋体" w:hAnsi="宋体" w:eastAsia="宋体"/>
                <w:sz w:val="21"/>
                <w:szCs w:val="21"/>
              </w:rPr>
            </w:pPr>
            <w:r>
              <w:rPr>
                <w:rFonts w:ascii="宋体" w:hAnsi="宋体" w:eastAsia="宋体"/>
                <w:sz w:val="21"/>
                <w:szCs w:val="21"/>
              </w:rPr>
              <w:t>委员会主任签字：</w:t>
            </w:r>
            <w:r>
              <w:rPr>
                <w:rFonts w:ascii="宋体" w:hAnsi="宋体" w:eastAsia="宋体"/>
                <w:sz w:val="21"/>
                <w:szCs w:val="21"/>
                <w:u w:val="single"/>
              </w:rPr>
              <w:t xml:space="preserve">                  </w:t>
            </w:r>
          </w:p>
          <w:p>
            <w:pPr>
              <w:jc w:val="left"/>
              <w:rPr>
                <w:rFonts w:ascii="宋体" w:hAnsi="宋体" w:eastAsia="宋体"/>
                <w:sz w:val="21"/>
                <w:szCs w:val="21"/>
              </w:rPr>
            </w:pPr>
            <w:r>
              <w:rPr>
                <w:rFonts w:ascii="宋体" w:hAnsi="宋体" w:eastAsia="宋体"/>
                <w:sz w:val="21"/>
                <w:szCs w:val="21"/>
              </w:rPr>
              <w:t xml:space="preserve">                                </w:t>
            </w:r>
          </w:p>
          <w:p>
            <w:pPr>
              <w:ind w:firstLine="3193" w:firstLineChars="1550"/>
              <w:jc w:val="left"/>
              <w:rPr>
                <w:rFonts w:ascii="宋体" w:hAnsi="宋体" w:eastAsia="宋体"/>
                <w:sz w:val="21"/>
                <w:szCs w:val="21"/>
              </w:rPr>
            </w:pPr>
            <w:r>
              <w:rPr>
                <w:rFonts w:ascii="宋体" w:hAnsi="宋体" w:eastAsia="宋体"/>
                <w:sz w:val="21"/>
                <w:szCs w:val="21"/>
              </w:rPr>
              <w:t>（单位公章）           年    月    日</w:t>
            </w:r>
          </w:p>
          <w:p>
            <w:pPr>
              <w:spacing w:line="400" w:lineRule="exact"/>
              <w:ind w:left="-79"/>
              <w:jc w:val="left"/>
              <w:rPr>
                <w:rFonts w:ascii="宋体" w:hAnsi="宋体" w:eastAsia="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1247" w:type="dxa"/>
            <w:vAlign w:val="center"/>
          </w:tcPr>
          <w:p>
            <w:pPr>
              <w:ind w:left="-82"/>
              <w:jc w:val="center"/>
              <w:rPr>
                <w:rFonts w:ascii="宋体" w:hAnsi="宋体" w:eastAsia="宋体"/>
                <w:sz w:val="21"/>
                <w:szCs w:val="21"/>
              </w:rPr>
            </w:pPr>
            <w:r>
              <w:rPr>
                <w:rFonts w:ascii="宋体" w:hAnsi="宋体" w:eastAsia="宋体"/>
                <w:sz w:val="21"/>
                <w:szCs w:val="21"/>
              </w:rPr>
              <w:t>总人数</w:t>
            </w:r>
          </w:p>
        </w:tc>
        <w:tc>
          <w:tcPr>
            <w:tcW w:w="1247" w:type="dxa"/>
            <w:vAlign w:val="center"/>
          </w:tcPr>
          <w:p>
            <w:pPr>
              <w:ind w:left="-82"/>
              <w:jc w:val="center"/>
              <w:rPr>
                <w:rFonts w:ascii="宋体" w:hAnsi="宋体" w:eastAsia="宋体"/>
                <w:sz w:val="21"/>
                <w:szCs w:val="21"/>
              </w:rPr>
            </w:pPr>
            <w:r>
              <w:rPr>
                <w:rFonts w:ascii="宋体" w:hAnsi="宋体" w:eastAsia="宋体"/>
                <w:sz w:val="21"/>
                <w:szCs w:val="21"/>
              </w:rPr>
              <w:t>参加人数</w:t>
            </w:r>
          </w:p>
        </w:tc>
        <w:tc>
          <w:tcPr>
            <w:tcW w:w="4649" w:type="dxa"/>
            <w:gridSpan w:val="6"/>
            <w:vAlign w:val="center"/>
          </w:tcPr>
          <w:p>
            <w:pPr>
              <w:ind w:left="-82"/>
              <w:jc w:val="center"/>
              <w:rPr>
                <w:rFonts w:ascii="宋体" w:hAnsi="宋体" w:eastAsia="宋体"/>
                <w:sz w:val="21"/>
                <w:szCs w:val="21"/>
              </w:rPr>
            </w:pPr>
            <w:r>
              <w:rPr>
                <w:rFonts w:ascii="宋体" w:hAnsi="宋体" w:eastAsia="宋体"/>
                <w:sz w:val="21"/>
                <w:szCs w:val="21"/>
              </w:rPr>
              <w:t>表    决    结    果</w:t>
            </w:r>
          </w:p>
        </w:tc>
        <w:tc>
          <w:tcPr>
            <w:tcW w:w="1702" w:type="dxa"/>
            <w:vAlign w:val="center"/>
          </w:tcPr>
          <w:p>
            <w:pPr>
              <w:ind w:left="-82"/>
              <w:jc w:val="center"/>
              <w:rPr>
                <w:rFonts w:ascii="宋体" w:hAnsi="宋体" w:eastAsia="宋体"/>
                <w:sz w:val="21"/>
                <w:szCs w:val="21"/>
              </w:rPr>
            </w:pPr>
            <w:r>
              <w:rPr>
                <w:rFonts w:ascii="宋体" w:hAnsi="宋体" w:eastAsia="宋体"/>
                <w:sz w:val="21"/>
                <w:szCs w:val="21"/>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247" w:type="dxa"/>
            <w:vAlign w:val="center"/>
          </w:tcPr>
          <w:p>
            <w:pPr>
              <w:ind w:left="-82"/>
              <w:jc w:val="center"/>
              <w:rPr>
                <w:rFonts w:ascii="宋体" w:hAnsi="宋体" w:eastAsia="宋体"/>
                <w:sz w:val="21"/>
                <w:szCs w:val="21"/>
              </w:rPr>
            </w:pPr>
          </w:p>
        </w:tc>
        <w:tc>
          <w:tcPr>
            <w:tcW w:w="1247" w:type="dxa"/>
            <w:vAlign w:val="center"/>
          </w:tcPr>
          <w:p>
            <w:pPr>
              <w:ind w:left="-82"/>
              <w:jc w:val="center"/>
              <w:rPr>
                <w:rFonts w:ascii="宋体" w:hAnsi="宋体" w:eastAsia="宋体"/>
                <w:sz w:val="21"/>
                <w:szCs w:val="21"/>
              </w:rPr>
            </w:pPr>
          </w:p>
        </w:tc>
        <w:tc>
          <w:tcPr>
            <w:tcW w:w="737" w:type="dxa"/>
            <w:vAlign w:val="center"/>
          </w:tcPr>
          <w:p>
            <w:pPr>
              <w:ind w:left="-82"/>
              <w:jc w:val="center"/>
              <w:rPr>
                <w:rFonts w:ascii="宋体" w:hAnsi="宋体" w:eastAsia="宋体"/>
                <w:sz w:val="21"/>
                <w:szCs w:val="21"/>
              </w:rPr>
            </w:pPr>
            <w:r>
              <w:rPr>
                <w:rFonts w:ascii="宋体" w:hAnsi="宋体" w:eastAsia="宋体"/>
                <w:sz w:val="21"/>
                <w:szCs w:val="21"/>
              </w:rPr>
              <w:t>同意人数</w:t>
            </w:r>
          </w:p>
        </w:tc>
        <w:tc>
          <w:tcPr>
            <w:tcW w:w="737" w:type="dxa"/>
            <w:vAlign w:val="center"/>
          </w:tcPr>
          <w:p>
            <w:pPr>
              <w:ind w:left="-82"/>
              <w:jc w:val="center"/>
              <w:rPr>
                <w:rFonts w:ascii="宋体" w:hAnsi="宋体" w:eastAsia="宋体"/>
                <w:sz w:val="21"/>
                <w:szCs w:val="21"/>
              </w:rPr>
            </w:pPr>
          </w:p>
        </w:tc>
        <w:tc>
          <w:tcPr>
            <w:tcW w:w="964" w:type="dxa"/>
            <w:vAlign w:val="center"/>
          </w:tcPr>
          <w:p>
            <w:pPr>
              <w:ind w:left="-82"/>
              <w:jc w:val="center"/>
              <w:rPr>
                <w:rFonts w:ascii="宋体" w:hAnsi="宋体" w:eastAsia="宋体"/>
                <w:sz w:val="21"/>
                <w:szCs w:val="21"/>
              </w:rPr>
            </w:pPr>
            <w:r>
              <w:rPr>
                <w:rFonts w:ascii="宋体" w:hAnsi="宋体" w:eastAsia="宋体"/>
                <w:sz w:val="21"/>
                <w:szCs w:val="21"/>
              </w:rPr>
              <w:t>不同意</w:t>
            </w:r>
          </w:p>
          <w:p>
            <w:pPr>
              <w:ind w:left="-82"/>
              <w:jc w:val="center"/>
              <w:rPr>
                <w:rFonts w:ascii="宋体" w:hAnsi="宋体" w:eastAsia="宋体"/>
                <w:sz w:val="21"/>
                <w:szCs w:val="21"/>
              </w:rPr>
            </w:pPr>
            <w:r>
              <w:rPr>
                <w:rFonts w:ascii="宋体" w:hAnsi="宋体" w:eastAsia="宋体"/>
                <w:sz w:val="21"/>
                <w:szCs w:val="21"/>
              </w:rPr>
              <w:t>人  数</w:t>
            </w:r>
          </w:p>
        </w:tc>
        <w:tc>
          <w:tcPr>
            <w:tcW w:w="737" w:type="dxa"/>
            <w:vAlign w:val="center"/>
          </w:tcPr>
          <w:p>
            <w:pPr>
              <w:ind w:left="-82"/>
              <w:jc w:val="center"/>
              <w:rPr>
                <w:rFonts w:ascii="宋体" w:hAnsi="宋体" w:eastAsia="宋体"/>
                <w:sz w:val="21"/>
                <w:szCs w:val="21"/>
              </w:rPr>
            </w:pPr>
          </w:p>
        </w:tc>
        <w:tc>
          <w:tcPr>
            <w:tcW w:w="737" w:type="dxa"/>
            <w:vAlign w:val="center"/>
          </w:tcPr>
          <w:p>
            <w:pPr>
              <w:ind w:left="-82"/>
              <w:jc w:val="center"/>
              <w:rPr>
                <w:rFonts w:ascii="宋体" w:hAnsi="宋体" w:eastAsia="宋体"/>
                <w:sz w:val="21"/>
                <w:szCs w:val="21"/>
              </w:rPr>
            </w:pPr>
            <w:r>
              <w:rPr>
                <w:rFonts w:ascii="宋体" w:hAnsi="宋体" w:eastAsia="宋体"/>
                <w:sz w:val="21"/>
                <w:szCs w:val="21"/>
              </w:rPr>
              <w:t>弃权</w:t>
            </w:r>
          </w:p>
          <w:p>
            <w:pPr>
              <w:ind w:left="-82"/>
              <w:jc w:val="center"/>
              <w:rPr>
                <w:rFonts w:ascii="宋体" w:hAnsi="宋体" w:eastAsia="宋体"/>
                <w:sz w:val="21"/>
                <w:szCs w:val="21"/>
              </w:rPr>
            </w:pPr>
            <w:r>
              <w:rPr>
                <w:rFonts w:ascii="宋体" w:hAnsi="宋体" w:eastAsia="宋体"/>
                <w:sz w:val="21"/>
                <w:szCs w:val="21"/>
              </w:rPr>
              <w:t>人数</w:t>
            </w:r>
          </w:p>
        </w:tc>
        <w:tc>
          <w:tcPr>
            <w:tcW w:w="737" w:type="dxa"/>
            <w:vAlign w:val="center"/>
          </w:tcPr>
          <w:p>
            <w:pPr>
              <w:ind w:left="-82"/>
              <w:jc w:val="center"/>
              <w:rPr>
                <w:rFonts w:ascii="宋体" w:hAnsi="宋体" w:eastAsia="宋体"/>
                <w:sz w:val="21"/>
                <w:szCs w:val="21"/>
              </w:rPr>
            </w:pPr>
          </w:p>
        </w:tc>
        <w:tc>
          <w:tcPr>
            <w:tcW w:w="1702" w:type="dxa"/>
            <w:vAlign w:val="center"/>
          </w:tcPr>
          <w:p>
            <w:pPr>
              <w:ind w:left="-82"/>
              <w:jc w:val="center"/>
              <w:rPr>
                <w:rFonts w:ascii="宋体" w:hAnsi="宋体" w:eastAsia="宋体"/>
                <w:sz w:val="21"/>
                <w:szCs w:val="21"/>
              </w:rPr>
            </w:pPr>
          </w:p>
        </w:tc>
      </w:tr>
    </w:tbl>
    <w:p>
      <w:pPr>
        <w:spacing w:line="360" w:lineRule="exact"/>
        <w:jc w:val="left"/>
        <w:outlineLvl w:val="0"/>
        <w:rPr>
          <w:b/>
          <w:sz w:val="28"/>
        </w:rPr>
      </w:pPr>
    </w:p>
    <w:p>
      <w:pPr>
        <w:spacing w:line="360" w:lineRule="exact"/>
        <w:jc w:val="left"/>
        <w:outlineLvl w:val="0"/>
        <w:rPr>
          <w:rFonts w:ascii="宋体" w:hAnsi="宋体" w:eastAsia="宋体"/>
          <w:b/>
          <w:sz w:val="28"/>
        </w:rPr>
      </w:pPr>
      <w:r>
        <w:rPr>
          <w:rFonts w:hint="eastAsia" w:ascii="宋体" w:hAnsi="宋体" w:eastAsia="宋体"/>
          <w:b/>
          <w:sz w:val="28"/>
        </w:rPr>
        <w:t>七</w:t>
      </w:r>
      <w:r>
        <w:rPr>
          <w:rFonts w:ascii="宋体" w:hAnsi="宋体" w:eastAsia="宋体"/>
          <w:b/>
          <w:sz w:val="28"/>
        </w:rPr>
        <w:t>、学校评聘工作委员会意见</w:t>
      </w:r>
    </w:p>
    <w:tbl>
      <w:tblPr>
        <w:tblStyle w:val="9"/>
        <w:tblW w:w="0" w:type="auto"/>
        <w:tblInd w:w="82"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247"/>
        <w:gridCol w:w="737"/>
        <w:gridCol w:w="737"/>
        <w:gridCol w:w="964"/>
        <w:gridCol w:w="737"/>
        <w:gridCol w:w="737"/>
        <w:gridCol w:w="737"/>
        <w:gridCol w:w="170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646" w:hRule="atLeast"/>
        </w:trPr>
        <w:tc>
          <w:tcPr>
            <w:tcW w:w="8845" w:type="dxa"/>
            <w:gridSpan w:val="9"/>
            <w:vAlign w:val="bottom"/>
          </w:tcPr>
          <w:p>
            <w:pPr>
              <w:spacing w:line="400" w:lineRule="exact"/>
              <w:ind w:left="-79"/>
              <w:jc w:val="left"/>
              <w:rPr>
                <w:rFonts w:ascii="宋体" w:hAnsi="宋体" w:eastAsia="宋体"/>
                <w:sz w:val="21"/>
                <w:szCs w:val="21"/>
              </w:rPr>
            </w:pPr>
            <w:r>
              <w:t xml:space="preserve">                       </w:t>
            </w:r>
            <w:r>
              <w:rPr>
                <w:rFonts w:ascii="宋体" w:hAnsi="宋体" w:eastAsia="宋体"/>
                <w:sz w:val="21"/>
                <w:szCs w:val="21"/>
              </w:rPr>
              <w:t xml:space="preserve">评聘工作委员会主任签字：                  </w:t>
            </w:r>
          </w:p>
          <w:p>
            <w:pPr>
              <w:ind w:left="-82"/>
              <w:jc w:val="left"/>
              <w:rPr>
                <w:rFonts w:ascii="宋体" w:hAnsi="宋体" w:eastAsia="宋体"/>
                <w:sz w:val="21"/>
                <w:szCs w:val="21"/>
              </w:rPr>
            </w:pPr>
            <w:r>
              <w:rPr>
                <w:rFonts w:ascii="宋体" w:hAnsi="宋体" w:eastAsia="宋体"/>
                <w:sz w:val="21"/>
                <w:szCs w:val="21"/>
              </w:rPr>
              <w:t xml:space="preserve">                                           </w:t>
            </w:r>
          </w:p>
          <w:p>
            <w:pPr>
              <w:ind w:left="-123" w:leftChars="-39" w:firstLine="3502" w:firstLineChars="1700"/>
              <w:jc w:val="left"/>
              <w:rPr>
                <w:rFonts w:ascii="宋体" w:hAnsi="宋体" w:eastAsia="宋体"/>
                <w:sz w:val="21"/>
                <w:szCs w:val="21"/>
              </w:rPr>
            </w:pPr>
            <w:r>
              <w:rPr>
                <w:rFonts w:ascii="宋体" w:hAnsi="宋体" w:eastAsia="宋体"/>
                <w:sz w:val="21"/>
                <w:szCs w:val="21"/>
              </w:rPr>
              <w:t>（公章）        年    月    日</w:t>
            </w:r>
          </w:p>
          <w:p>
            <w:pPr>
              <w:ind w:left="-82"/>
              <w:jc w:val="left"/>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1247" w:type="dxa"/>
            <w:vAlign w:val="center"/>
          </w:tcPr>
          <w:p>
            <w:pPr>
              <w:ind w:left="-82"/>
              <w:jc w:val="center"/>
              <w:rPr>
                <w:rFonts w:ascii="宋体" w:hAnsi="宋体" w:eastAsia="宋体"/>
                <w:sz w:val="21"/>
                <w:szCs w:val="21"/>
              </w:rPr>
            </w:pPr>
            <w:r>
              <w:rPr>
                <w:rFonts w:ascii="宋体" w:hAnsi="宋体" w:eastAsia="宋体"/>
                <w:sz w:val="21"/>
                <w:szCs w:val="21"/>
              </w:rPr>
              <w:t>总人数</w:t>
            </w:r>
          </w:p>
        </w:tc>
        <w:tc>
          <w:tcPr>
            <w:tcW w:w="1247" w:type="dxa"/>
            <w:vAlign w:val="center"/>
          </w:tcPr>
          <w:p>
            <w:pPr>
              <w:ind w:left="-82"/>
              <w:jc w:val="center"/>
              <w:rPr>
                <w:rFonts w:ascii="宋体" w:hAnsi="宋体" w:eastAsia="宋体"/>
                <w:sz w:val="21"/>
                <w:szCs w:val="21"/>
              </w:rPr>
            </w:pPr>
            <w:r>
              <w:rPr>
                <w:rFonts w:hint="eastAsia" w:ascii="宋体" w:hAnsi="宋体" w:eastAsia="宋体"/>
                <w:sz w:val="21"/>
                <w:szCs w:val="21"/>
              </w:rPr>
              <w:t>参加</w:t>
            </w:r>
            <w:r>
              <w:rPr>
                <w:rFonts w:ascii="宋体" w:hAnsi="宋体" w:eastAsia="宋体"/>
                <w:sz w:val="21"/>
                <w:szCs w:val="21"/>
              </w:rPr>
              <w:t>人数</w:t>
            </w:r>
          </w:p>
        </w:tc>
        <w:tc>
          <w:tcPr>
            <w:tcW w:w="4649" w:type="dxa"/>
            <w:gridSpan w:val="6"/>
            <w:vAlign w:val="center"/>
          </w:tcPr>
          <w:p>
            <w:pPr>
              <w:ind w:left="-82"/>
              <w:jc w:val="center"/>
              <w:rPr>
                <w:rFonts w:ascii="宋体" w:hAnsi="宋体" w:eastAsia="宋体"/>
                <w:sz w:val="21"/>
                <w:szCs w:val="21"/>
              </w:rPr>
            </w:pPr>
            <w:r>
              <w:rPr>
                <w:rFonts w:ascii="宋体" w:hAnsi="宋体" w:eastAsia="宋体"/>
                <w:sz w:val="21"/>
                <w:szCs w:val="21"/>
              </w:rPr>
              <w:t>表    决    结    果</w:t>
            </w:r>
          </w:p>
        </w:tc>
        <w:tc>
          <w:tcPr>
            <w:tcW w:w="1701" w:type="dxa"/>
            <w:vAlign w:val="center"/>
          </w:tcPr>
          <w:p>
            <w:pPr>
              <w:ind w:left="-82"/>
              <w:jc w:val="center"/>
              <w:rPr>
                <w:rFonts w:ascii="宋体" w:hAnsi="宋体" w:eastAsia="宋体"/>
                <w:sz w:val="21"/>
                <w:szCs w:val="21"/>
              </w:rPr>
            </w:pPr>
            <w:r>
              <w:rPr>
                <w:rFonts w:ascii="宋体" w:hAnsi="宋体" w:eastAsia="宋体"/>
                <w:sz w:val="21"/>
                <w:szCs w:val="21"/>
              </w:rPr>
              <w:t>备     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1247" w:type="dxa"/>
            <w:vAlign w:val="center"/>
          </w:tcPr>
          <w:p>
            <w:pPr>
              <w:ind w:left="-82"/>
              <w:jc w:val="center"/>
              <w:rPr>
                <w:rFonts w:ascii="宋体" w:hAnsi="宋体" w:eastAsia="宋体"/>
                <w:sz w:val="21"/>
                <w:szCs w:val="21"/>
              </w:rPr>
            </w:pPr>
          </w:p>
        </w:tc>
        <w:tc>
          <w:tcPr>
            <w:tcW w:w="1247" w:type="dxa"/>
            <w:vAlign w:val="center"/>
          </w:tcPr>
          <w:p>
            <w:pPr>
              <w:ind w:left="-82"/>
              <w:jc w:val="center"/>
              <w:rPr>
                <w:rFonts w:ascii="宋体" w:hAnsi="宋体" w:eastAsia="宋体"/>
                <w:sz w:val="21"/>
                <w:szCs w:val="21"/>
              </w:rPr>
            </w:pPr>
          </w:p>
        </w:tc>
        <w:tc>
          <w:tcPr>
            <w:tcW w:w="737" w:type="dxa"/>
            <w:vAlign w:val="center"/>
          </w:tcPr>
          <w:p>
            <w:pPr>
              <w:ind w:left="-82"/>
              <w:jc w:val="center"/>
              <w:rPr>
                <w:rFonts w:ascii="宋体" w:hAnsi="宋体" w:eastAsia="宋体"/>
                <w:sz w:val="21"/>
                <w:szCs w:val="21"/>
              </w:rPr>
            </w:pPr>
            <w:r>
              <w:rPr>
                <w:rFonts w:ascii="宋体" w:hAnsi="宋体" w:eastAsia="宋体"/>
                <w:sz w:val="21"/>
                <w:szCs w:val="21"/>
              </w:rPr>
              <w:t>同意人数</w:t>
            </w:r>
          </w:p>
        </w:tc>
        <w:tc>
          <w:tcPr>
            <w:tcW w:w="737" w:type="dxa"/>
            <w:vAlign w:val="center"/>
          </w:tcPr>
          <w:p>
            <w:pPr>
              <w:ind w:left="-82"/>
              <w:jc w:val="center"/>
              <w:rPr>
                <w:rFonts w:ascii="宋体" w:hAnsi="宋体" w:eastAsia="宋体"/>
                <w:sz w:val="21"/>
                <w:szCs w:val="21"/>
              </w:rPr>
            </w:pPr>
          </w:p>
        </w:tc>
        <w:tc>
          <w:tcPr>
            <w:tcW w:w="964" w:type="dxa"/>
            <w:vAlign w:val="center"/>
          </w:tcPr>
          <w:p>
            <w:pPr>
              <w:ind w:left="-82"/>
              <w:jc w:val="center"/>
              <w:rPr>
                <w:rFonts w:ascii="宋体" w:hAnsi="宋体" w:eastAsia="宋体"/>
                <w:sz w:val="21"/>
                <w:szCs w:val="21"/>
              </w:rPr>
            </w:pPr>
            <w:r>
              <w:rPr>
                <w:rFonts w:ascii="宋体" w:hAnsi="宋体" w:eastAsia="宋体"/>
                <w:sz w:val="21"/>
                <w:szCs w:val="21"/>
              </w:rPr>
              <w:t>不同意</w:t>
            </w:r>
          </w:p>
          <w:p>
            <w:pPr>
              <w:ind w:left="-82"/>
              <w:jc w:val="center"/>
              <w:rPr>
                <w:rFonts w:ascii="宋体" w:hAnsi="宋体" w:eastAsia="宋体"/>
                <w:sz w:val="21"/>
                <w:szCs w:val="21"/>
              </w:rPr>
            </w:pPr>
            <w:r>
              <w:rPr>
                <w:rFonts w:ascii="宋体" w:hAnsi="宋体" w:eastAsia="宋体"/>
                <w:sz w:val="21"/>
                <w:szCs w:val="21"/>
              </w:rPr>
              <w:t>人  数</w:t>
            </w:r>
          </w:p>
        </w:tc>
        <w:tc>
          <w:tcPr>
            <w:tcW w:w="737" w:type="dxa"/>
            <w:vAlign w:val="center"/>
          </w:tcPr>
          <w:p>
            <w:pPr>
              <w:ind w:left="-82"/>
              <w:jc w:val="center"/>
              <w:rPr>
                <w:rFonts w:ascii="宋体" w:hAnsi="宋体" w:eastAsia="宋体"/>
                <w:sz w:val="21"/>
                <w:szCs w:val="21"/>
              </w:rPr>
            </w:pPr>
          </w:p>
        </w:tc>
        <w:tc>
          <w:tcPr>
            <w:tcW w:w="737" w:type="dxa"/>
            <w:vAlign w:val="center"/>
          </w:tcPr>
          <w:p>
            <w:pPr>
              <w:ind w:left="-82"/>
              <w:jc w:val="center"/>
              <w:rPr>
                <w:rFonts w:ascii="宋体" w:hAnsi="宋体" w:eastAsia="宋体"/>
                <w:sz w:val="21"/>
                <w:szCs w:val="21"/>
              </w:rPr>
            </w:pPr>
            <w:r>
              <w:rPr>
                <w:rFonts w:ascii="宋体" w:hAnsi="宋体" w:eastAsia="宋体"/>
                <w:sz w:val="21"/>
                <w:szCs w:val="21"/>
              </w:rPr>
              <w:t>弃权</w:t>
            </w:r>
          </w:p>
          <w:p>
            <w:pPr>
              <w:ind w:left="-82"/>
              <w:jc w:val="center"/>
              <w:rPr>
                <w:rFonts w:ascii="宋体" w:hAnsi="宋体" w:eastAsia="宋体"/>
                <w:sz w:val="21"/>
                <w:szCs w:val="21"/>
              </w:rPr>
            </w:pPr>
            <w:r>
              <w:rPr>
                <w:rFonts w:ascii="宋体" w:hAnsi="宋体" w:eastAsia="宋体"/>
                <w:sz w:val="21"/>
                <w:szCs w:val="21"/>
              </w:rPr>
              <w:t>人数</w:t>
            </w:r>
          </w:p>
        </w:tc>
        <w:tc>
          <w:tcPr>
            <w:tcW w:w="737" w:type="dxa"/>
            <w:vAlign w:val="center"/>
          </w:tcPr>
          <w:p>
            <w:pPr>
              <w:ind w:left="-82"/>
              <w:jc w:val="center"/>
              <w:rPr>
                <w:rFonts w:ascii="宋体" w:hAnsi="宋体" w:eastAsia="宋体"/>
                <w:sz w:val="21"/>
                <w:szCs w:val="21"/>
              </w:rPr>
            </w:pPr>
          </w:p>
        </w:tc>
        <w:tc>
          <w:tcPr>
            <w:tcW w:w="1701" w:type="dxa"/>
            <w:vAlign w:val="center"/>
          </w:tcPr>
          <w:p>
            <w:pPr>
              <w:ind w:left="-82"/>
              <w:jc w:val="center"/>
              <w:rPr>
                <w:rFonts w:ascii="宋体" w:hAnsi="宋体" w:eastAsia="宋体"/>
                <w:sz w:val="21"/>
                <w:szCs w:val="21"/>
              </w:rPr>
            </w:pPr>
          </w:p>
        </w:tc>
      </w:tr>
    </w:tbl>
    <w:p>
      <w:pPr>
        <w:jc w:val="left"/>
      </w:pPr>
    </w:p>
    <w:p>
      <w:pPr>
        <w:spacing w:line="360" w:lineRule="exact"/>
        <w:jc w:val="left"/>
        <w:outlineLvl w:val="0"/>
        <w:rPr>
          <w:rFonts w:ascii="宋体" w:hAnsi="宋体" w:eastAsia="宋体"/>
          <w:b/>
          <w:sz w:val="28"/>
        </w:rPr>
      </w:pPr>
      <w:r>
        <w:rPr>
          <w:rFonts w:ascii="宋体" w:hAnsi="宋体" w:eastAsia="宋体"/>
          <w:b/>
          <w:sz w:val="28"/>
        </w:rPr>
        <w:t>八、</w:t>
      </w:r>
      <w:r>
        <w:rPr>
          <w:rFonts w:hint="eastAsia" w:ascii="宋体" w:hAnsi="宋体" w:eastAsia="宋体"/>
          <w:b/>
          <w:sz w:val="28"/>
        </w:rPr>
        <w:t>学</w:t>
      </w:r>
      <w:r>
        <w:rPr>
          <w:rFonts w:ascii="宋体" w:hAnsi="宋体" w:eastAsia="宋体"/>
          <w:b/>
          <w:sz w:val="28"/>
        </w:rPr>
        <w:t>校聘用委员会意见</w:t>
      </w:r>
    </w:p>
    <w:tbl>
      <w:tblPr>
        <w:tblStyle w:val="9"/>
        <w:tblW w:w="8820" w:type="dxa"/>
        <w:tblInd w:w="108"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2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426" w:hRule="atLeast"/>
        </w:trPr>
        <w:tc>
          <w:tcPr>
            <w:tcW w:w="8820" w:type="dxa"/>
            <w:tcBorders>
              <w:bottom w:val="single" w:color="auto" w:sz="8" w:space="0"/>
            </w:tcBorders>
            <w:vAlign w:val="bottom"/>
          </w:tcPr>
          <w:p>
            <w:pPr>
              <w:spacing w:line="400" w:lineRule="exact"/>
              <w:ind w:left="-79"/>
              <w:jc w:val="left"/>
              <w:rPr>
                <w:rFonts w:ascii="宋体" w:hAnsi="宋体" w:eastAsia="宋体"/>
                <w:sz w:val="21"/>
                <w:szCs w:val="21"/>
              </w:rPr>
            </w:pPr>
            <w:r>
              <w:t xml:space="preserve">                      </w:t>
            </w:r>
            <w:r>
              <w:rPr>
                <w:rFonts w:ascii="宋体" w:hAnsi="宋体" w:eastAsia="宋体"/>
                <w:sz w:val="21"/>
                <w:szCs w:val="21"/>
              </w:rPr>
              <w:t xml:space="preserve"> 聘用委员会主任签字：</w:t>
            </w:r>
          </w:p>
          <w:p>
            <w:pPr>
              <w:spacing w:line="400" w:lineRule="exact"/>
              <w:ind w:left="-79"/>
              <w:jc w:val="left"/>
              <w:rPr>
                <w:rFonts w:ascii="宋体" w:hAnsi="宋体" w:eastAsia="宋体"/>
                <w:sz w:val="21"/>
                <w:szCs w:val="21"/>
              </w:rPr>
            </w:pPr>
            <w:r>
              <w:rPr>
                <w:rFonts w:ascii="宋体" w:hAnsi="宋体" w:eastAsia="宋体"/>
                <w:sz w:val="21"/>
                <w:szCs w:val="21"/>
              </w:rPr>
              <w:t xml:space="preserve">                                           </w:t>
            </w:r>
          </w:p>
          <w:p>
            <w:pPr>
              <w:spacing w:line="400" w:lineRule="exact"/>
              <w:ind w:left="-79" w:firstLine="3502" w:firstLineChars="1700"/>
              <w:jc w:val="left"/>
              <w:rPr>
                <w:rFonts w:ascii="宋体" w:hAnsi="宋体" w:eastAsia="宋体"/>
                <w:sz w:val="21"/>
                <w:szCs w:val="21"/>
              </w:rPr>
            </w:pPr>
            <w:r>
              <w:rPr>
                <w:rFonts w:ascii="宋体" w:hAnsi="宋体" w:eastAsia="宋体"/>
                <w:sz w:val="21"/>
                <w:szCs w:val="21"/>
              </w:rPr>
              <w:t>（公章）        年    月    日</w:t>
            </w:r>
          </w:p>
        </w:tc>
      </w:tr>
    </w:tbl>
    <w:p/>
    <w:sectPr>
      <w:footerReference r:id="rId6" w:type="default"/>
      <w:footerReference r:id="rId7" w:type="even"/>
      <w:pgSz w:w="11906" w:h="16838"/>
      <w:pgMar w:top="2098" w:right="1474" w:bottom="1985" w:left="1588" w:header="851" w:footer="992" w:gutter="0"/>
      <w:cols w:space="720" w:num="1"/>
      <w:docGrid w:type="linesAndChars" w:linePitch="579" w:charSpace="-8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endnote>
  <w:endnote w:type="continuationSeparator"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rPr>
        <w:rFonts w:ascii="宋体" w:hAnsi="宋体" w:eastAsia="宋体"/>
        <w:sz w:val="28"/>
      </w:rPr>
    </w:pPr>
    <w:r>
      <w:rPr>
        <w:rFonts w:ascii="宋体" w:hAnsi="宋体" w:eastAsia="宋体"/>
        <w:sz w:val="28"/>
      </w:rPr>
      <w:fldChar w:fldCharType="begin"/>
    </w:r>
    <w:r>
      <w:rPr>
        <w:rFonts w:ascii="宋体" w:hAnsi="宋体" w:eastAsia="宋体"/>
        <w:sz w:val="28"/>
      </w:rPr>
      <w:instrText xml:space="preserve">PAGE   \* MERGEFORMAT</w:instrText>
    </w:r>
    <w:r>
      <w:rPr>
        <w:rFonts w:ascii="宋体" w:hAnsi="宋体" w:eastAsia="宋体"/>
        <w:sz w:val="28"/>
      </w:rPr>
      <w:fldChar w:fldCharType="separate"/>
    </w:r>
    <w:r>
      <w:rPr>
        <w:rFonts w:ascii="宋体" w:hAnsi="宋体" w:eastAsia="宋体"/>
        <w:sz w:val="28"/>
        <w:lang w:val="zh-CN"/>
      </w:rPr>
      <w:t>-</w:t>
    </w:r>
    <w:r>
      <w:rPr>
        <w:rFonts w:ascii="宋体" w:hAnsi="宋体" w:eastAsia="宋体"/>
        <w:sz w:val="28"/>
      </w:rPr>
      <w:t xml:space="preserve"> 26 -</w:t>
    </w:r>
    <w:r>
      <w:rPr>
        <w:rFonts w:ascii="宋体" w:hAnsi="宋体" w:eastAsia="宋体"/>
        <w:sz w:val="28"/>
      </w:rPr>
      <w:fldChar w:fldCharType="end"/>
    </w:r>
  </w:p>
  <w:p>
    <w:pPr>
      <w:pStyle w:val="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footnote>
  <w:footnote w:type="continuationSeparator" w:id="1">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6B84EBD"/>
    <w:multiLevelType w:val="multilevel"/>
    <w:tmpl w:val="C6B84EBD"/>
    <w:lvl w:ilvl="0" w:tentative="0">
      <w:start w:val="1"/>
      <w:numFmt w:val="decimal"/>
      <w:lvlText w:val="[%1]"/>
      <w:lvlJc w:val="left"/>
      <w:pPr>
        <w:ind w:left="420" w:hanging="420"/>
      </w:pPr>
      <w:rPr>
        <w:b w:val="0"/>
        <w:sz w:val="18"/>
        <w:szCs w:val="18"/>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C9CE243D"/>
    <w:multiLevelType w:val="singleLevel"/>
    <w:tmpl w:val="C9CE243D"/>
    <w:lvl w:ilvl="0" w:tentative="0">
      <w:start w:val="1"/>
      <w:numFmt w:val="decimal"/>
      <w:suff w:val="nothing"/>
      <w:lvlText w:val="%1）"/>
      <w:lvlJc w:val="left"/>
    </w:lvl>
  </w:abstractNum>
  <w:abstractNum w:abstractNumId="2">
    <w:nsid w:val="FF72074B"/>
    <w:multiLevelType w:val="singleLevel"/>
    <w:tmpl w:val="FF72074B"/>
    <w:lvl w:ilvl="0" w:tentative="0">
      <w:start w:val="1"/>
      <w:numFmt w:val="decimal"/>
      <w:suff w:val="nothing"/>
      <w:lvlText w:val="%1）"/>
      <w:lvlJc w:val="left"/>
    </w:lvl>
  </w:abstractNum>
  <w:abstractNum w:abstractNumId="3">
    <w:nsid w:val="3F46283A"/>
    <w:multiLevelType w:val="singleLevel"/>
    <w:tmpl w:val="3F46283A"/>
    <w:lvl w:ilvl="0" w:tentative="0">
      <w:start w:val="1"/>
      <w:numFmt w:val="bullet"/>
      <w:lvlText w:val=""/>
      <w:lvlJc w:val="left"/>
      <w:pPr>
        <w:ind w:left="420" w:hanging="420"/>
      </w:pPr>
      <w:rPr>
        <w:rFonts w:hint="default" w:ascii="Wingdings" w:hAnsi="Wingdings"/>
      </w:rPr>
    </w:lvl>
  </w:abstractNum>
  <w:abstractNum w:abstractNumId="4">
    <w:nsid w:val="5BA229A8"/>
    <w:multiLevelType w:val="singleLevel"/>
    <w:tmpl w:val="5BA229A8"/>
    <w:lvl w:ilvl="0" w:tentative="0">
      <w:start w:val="1"/>
      <w:numFmt w:val="decimal"/>
      <w:suff w:val="nothing"/>
      <w:lvlText w:val="%1）"/>
      <w:lvlJc w:val="left"/>
    </w:lvl>
  </w:abstractNum>
  <w:num w:numId="1">
    <w:abstractNumId w:val="0"/>
  </w:num>
  <w:num w:numId="2">
    <w:abstractNumId w:val="3"/>
  </w:num>
  <w:num w:numId="3">
    <w:abstractNumId w:val="1"/>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6DB074B"/>
    <w:rsid w:val="000047B4"/>
    <w:rsid w:val="000065AC"/>
    <w:rsid w:val="00024F19"/>
    <w:rsid w:val="00070C9D"/>
    <w:rsid w:val="0007130E"/>
    <w:rsid w:val="001A4155"/>
    <w:rsid w:val="001B2EBE"/>
    <w:rsid w:val="001D5151"/>
    <w:rsid w:val="00222CA7"/>
    <w:rsid w:val="00234934"/>
    <w:rsid w:val="00251D9D"/>
    <w:rsid w:val="00264474"/>
    <w:rsid w:val="00271B43"/>
    <w:rsid w:val="0030325F"/>
    <w:rsid w:val="00342140"/>
    <w:rsid w:val="003C22EC"/>
    <w:rsid w:val="00430007"/>
    <w:rsid w:val="00486CCC"/>
    <w:rsid w:val="004B29EA"/>
    <w:rsid w:val="004B5452"/>
    <w:rsid w:val="00557686"/>
    <w:rsid w:val="005B6182"/>
    <w:rsid w:val="005D1E22"/>
    <w:rsid w:val="006012CC"/>
    <w:rsid w:val="0063040F"/>
    <w:rsid w:val="00647D6A"/>
    <w:rsid w:val="006A178A"/>
    <w:rsid w:val="006D0079"/>
    <w:rsid w:val="00741904"/>
    <w:rsid w:val="00747189"/>
    <w:rsid w:val="0075105F"/>
    <w:rsid w:val="007708A6"/>
    <w:rsid w:val="00777925"/>
    <w:rsid w:val="007945F7"/>
    <w:rsid w:val="007A60CA"/>
    <w:rsid w:val="008331DD"/>
    <w:rsid w:val="008557D5"/>
    <w:rsid w:val="00896814"/>
    <w:rsid w:val="00953165"/>
    <w:rsid w:val="00983DEB"/>
    <w:rsid w:val="009A679D"/>
    <w:rsid w:val="009D1F80"/>
    <w:rsid w:val="009F649F"/>
    <w:rsid w:val="009F717A"/>
    <w:rsid w:val="00A2401D"/>
    <w:rsid w:val="00A90248"/>
    <w:rsid w:val="00AA4F7D"/>
    <w:rsid w:val="00AB0FBC"/>
    <w:rsid w:val="00AD33A9"/>
    <w:rsid w:val="00AE3830"/>
    <w:rsid w:val="00AF3CD1"/>
    <w:rsid w:val="00B0463B"/>
    <w:rsid w:val="00B30CD5"/>
    <w:rsid w:val="00B96CBF"/>
    <w:rsid w:val="00BA535E"/>
    <w:rsid w:val="00BD4979"/>
    <w:rsid w:val="00BF6A54"/>
    <w:rsid w:val="00C05D0E"/>
    <w:rsid w:val="00C52BBB"/>
    <w:rsid w:val="00CA3176"/>
    <w:rsid w:val="00CE4BE8"/>
    <w:rsid w:val="00D242A8"/>
    <w:rsid w:val="00D414EA"/>
    <w:rsid w:val="00D476D8"/>
    <w:rsid w:val="00DB1EDB"/>
    <w:rsid w:val="00DB3266"/>
    <w:rsid w:val="00DD29C0"/>
    <w:rsid w:val="00DD46F9"/>
    <w:rsid w:val="00E01E4B"/>
    <w:rsid w:val="00E43A86"/>
    <w:rsid w:val="00F21225"/>
    <w:rsid w:val="00F50D3A"/>
    <w:rsid w:val="00F55733"/>
    <w:rsid w:val="00F71C46"/>
    <w:rsid w:val="05BC192F"/>
    <w:rsid w:val="06A42F8B"/>
    <w:rsid w:val="1AD83C9F"/>
    <w:rsid w:val="1CFB7D79"/>
    <w:rsid w:val="1FAC6E9A"/>
    <w:rsid w:val="23906919"/>
    <w:rsid w:val="26DB074B"/>
    <w:rsid w:val="2D7C68CE"/>
    <w:rsid w:val="3AC1157D"/>
    <w:rsid w:val="3B5506CD"/>
    <w:rsid w:val="3B9E5414"/>
    <w:rsid w:val="433379C8"/>
    <w:rsid w:val="43FF202A"/>
    <w:rsid w:val="44504DEC"/>
    <w:rsid w:val="44B96619"/>
    <w:rsid w:val="47AA76FA"/>
    <w:rsid w:val="4C1D63D1"/>
    <w:rsid w:val="509A6F40"/>
    <w:rsid w:val="540208BE"/>
    <w:rsid w:val="56393CD7"/>
    <w:rsid w:val="5B404CF2"/>
    <w:rsid w:val="5F6470F1"/>
    <w:rsid w:val="62352394"/>
    <w:rsid w:val="654B21EA"/>
    <w:rsid w:val="69F119A2"/>
    <w:rsid w:val="6C77456B"/>
    <w:rsid w:val="7293771B"/>
    <w:rsid w:val="760D64C7"/>
    <w:rsid w:val="76B90464"/>
    <w:rsid w:val="76FA76C5"/>
    <w:rsid w:val="77A56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99"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仿宋_GB2312" w:cs="Times New Roman"/>
      <w:kern w:val="2"/>
      <w:sz w:val="32"/>
      <w:szCs w:val="22"/>
      <w:lang w:val="en-US" w:eastAsia="zh-CN" w:bidi="ar-SA"/>
    </w:rPr>
  </w:style>
  <w:style w:type="character" w:default="1" w:styleId="11">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19"/>
    <w:qFormat/>
    <w:uiPriority w:val="0"/>
    <w:pPr>
      <w:jc w:val="left"/>
    </w:pPr>
  </w:style>
  <w:style w:type="paragraph" w:styleId="3">
    <w:name w:val="Balloon Text"/>
    <w:basedOn w:val="1"/>
    <w:link w:val="16"/>
    <w:qFormat/>
    <w:uiPriority w:val="99"/>
    <w:rPr>
      <w:sz w:val="18"/>
      <w:szCs w:val="18"/>
    </w:rPr>
  </w:style>
  <w:style w:type="paragraph" w:styleId="4">
    <w:name w:val="footer"/>
    <w:basedOn w:val="1"/>
    <w:link w:val="18"/>
    <w:unhideWhenUsed/>
    <w:qFormat/>
    <w:uiPriority w:val="99"/>
    <w:pPr>
      <w:tabs>
        <w:tab w:val="center" w:pos="4153"/>
        <w:tab w:val="right" w:pos="8306"/>
      </w:tabs>
      <w:snapToGrid w:val="0"/>
      <w:jc w:val="left"/>
    </w:pPr>
    <w:rPr>
      <w:sz w:val="18"/>
      <w:szCs w:val="18"/>
    </w:rPr>
  </w:style>
  <w:style w:type="paragraph" w:styleId="5">
    <w:name w:val="header"/>
    <w:basedOn w:val="1"/>
    <w:link w:val="15"/>
    <w:qFormat/>
    <w:uiPriority w:val="0"/>
    <w:pPr>
      <w:pBdr>
        <w:bottom w:val="single" w:color="auto" w:sz="6" w:space="1"/>
      </w:pBdr>
      <w:tabs>
        <w:tab w:val="center" w:pos="4153"/>
        <w:tab w:val="right" w:pos="8306"/>
      </w:tabs>
      <w:snapToGrid w:val="0"/>
      <w:jc w:val="center"/>
    </w:pPr>
    <w:rPr>
      <w:sz w:val="18"/>
      <w:szCs w:val="18"/>
    </w:rPr>
  </w:style>
  <w:style w:type="paragraph" w:styleId="6">
    <w:name w:val="footnote text"/>
    <w:basedOn w:val="1"/>
    <w:link w:val="17"/>
    <w:qFormat/>
    <w:uiPriority w:val="99"/>
    <w:pPr>
      <w:snapToGrid w:val="0"/>
      <w:jc w:val="left"/>
    </w:pPr>
    <w:rPr>
      <w:rFonts w:ascii="Times New Roman" w:hAnsi="Times New Roman" w:eastAsia="宋体"/>
      <w:sz w:val="18"/>
      <w:szCs w:val="18"/>
    </w:rPr>
  </w:style>
  <w:style w:type="paragraph" w:styleId="7">
    <w:name w:val="Normal (Web)"/>
    <w:basedOn w:val="1"/>
    <w:qFormat/>
    <w:uiPriority w:val="0"/>
    <w:pPr>
      <w:spacing w:before="0" w:beforeAutospacing="1" w:after="0" w:afterAutospacing="1"/>
      <w:ind w:left="0" w:right="0"/>
      <w:jc w:val="left"/>
    </w:pPr>
    <w:rPr>
      <w:kern w:val="0"/>
      <w:sz w:val="24"/>
      <w:lang w:val="en-US" w:eastAsia="zh-CN" w:bidi="ar"/>
    </w:rPr>
  </w:style>
  <w:style w:type="paragraph" w:styleId="8">
    <w:name w:val="annotation subject"/>
    <w:basedOn w:val="2"/>
    <w:next w:val="2"/>
    <w:link w:val="20"/>
    <w:qFormat/>
    <w:uiPriority w:val="0"/>
    <w:rPr>
      <w:b/>
      <w:bCs/>
    </w:rPr>
  </w:style>
  <w:style w:type="table" w:styleId="10">
    <w:name w:val="Table Grid"/>
    <w:basedOn w:val="9"/>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yperlink"/>
    <w:basedOn w:val="11"/>
    <w:qFormat/>
    <w:uiPriority w:val="0"/>
    <w:rPr>
      <w:color w:val="0000FF"/>
      <w:u w:val="single"/>
    </w:rPr>
  </w:style>
  <w:style w:type="character" w:styleId="13">
    <w:name w:val="annotation reference"/>
    <w:basedOn w:val="11"/>
    <w:qFormat/>
    <w:uiPriority w:val="0"/>
    <w:rPr>
      <w:sz w:val="21"/>
      <w:szCs w:val="21"/>
    </w:rPr>
  </w:style>
  <w:style w:type="character" w:styleId="14">
    <w:name w:val="footnote reference"/>
    <w:qFormat/>
    <w:uiPriority w:val="99"/>
    <w:rPr>
      <w:vertAlign w:val="superscript"/>
    </w:rPr>
  </w:style>
  <w:style w:type="character" w:customStyle="1" w:styleId="15">
    <w:name w:val="页眉 字符"/>
    <w:basedOn w:val="11"/>
    <w:link w:val="5"/>
    <w:qFormat/>
    <w:uiPriority w:val="0"/>
    <w:rPr>
      <w:rFonts w:ascii="Calibri" w:hAnsi="Calibri" w:eastAsia="仿宋_GB2312"/>
      <w:kern w:val="2"/>
      <w:sz w:val="18"/>
      <w:szCs w:val="18"/>
    </w:rPr>
  </w:style>
  <w:style w:type="character" w:customStyle="1" w:styleId="16">
    <w:name w:val="批注框文本 字符"/>
    <w:basedOn w:val="11"/>
    <w:link w:val="3"/>
    <w:qFormat/>
    <w:uiPriority w:val="99"/>
    <w:rPr>
      <w:rFonts w:ascii="Calibri" w:hAnsi="Calibri" w:eastAsia="仿宋_GB2312"/>
      <w:kern w:val="2"/>
      <w:sz w:val="18"/>
      <w:szCs w:val="18"/>
    </w:rPr>
  </w:style>
  <w:style w:type="character" w:customStyle="1" w:styleId="17">
    <w:name w:val="脚注文本 字符"/>
    <w:link w:val="6"/>
    <w:qFormat/>
    <w:uiPriority w:val="99"/>
    <w:rPr>
      <w:kern w:val="2"/>
      <w:sz w:val="18"/>
      <w:szCs w:val="18"/>
    </w:rPr>
  </w:style>
  <w:style w:type="character" w:customStyle="1" w:styleId="18">
    <w:name w:val="页脚 字符"/>
    <w:link w:val="4"/>
    <w:qFormat/>
    <w:uiPriority w:val="99"/>
    <w:rPr>
      <w:rFonts w:ascii="Calibri" w:hAnsi="Calibri" w:eastAsia="仿宋_GB2312"/>
      <w:kern w:val="2"/>
      <w:sz w:val="18"/>
      <w:szCs w:val="18"/>
    </w:rPr>
  </w:style>
  <w:style w:type="character" w:customStyle="1" w:styleId="19">
    <w:name w:val="批注文字 字符"/>
    <w:basedOn w:val="11"/>
    <w:link w:val="2"/>
    <w:qFormat/>
    <w:uiPriority w:val="0"/>
    <w:rPr>
      <w:rFonts w:ascii="Calibri" w:hAnsi="Calibri" w:eastAsia="仿宋_GB2312"/>
      <w:kern w:val="2"/>
      <w:sz w:val="32"/>
      <w:szCs w:val="22"/>
    </w:rPr>
  </w:style>
  <w:style w:type="character" w:customStyle="1" w:styleId="20">
    <w:name w:val="批注主题 字符"/>
    <w:basedOn w:val="19"/>
    <w:link w:val="8"/>
    <w:qFormat/>
    <w:uiPriority w:val="0"/>
    <w:rPr>
      <w:rFonts w:ascii="Calibri" w:hAnsi="Calibri" w:eastAsia="仿宋_GB2312"/>
      <w:b/>
      <w:bCs/>
      <w:kern w:val="2"/>
      <w:sz w:val="32"/>
      <w:szCs w:val="22"/>
    </w:rPr>
  </w:style>
  <w:style w:type="paragraph" w:customStyle="1" w:styleId="21">
    <w:name w:val="msolistparagraph"/>
    <w:basedOn w:val="1"/>
    <w:qFormat/>
    <w:uiPriority w:val="0"/>
    <w:pPr>
      <w:keepNext w:val="0"/>
      <w:keepLines w:val="0"/>
      <w:widowControl w:val="0"/>
      <w:suppressLineNumbers w:val="0"/>
      <w:spacing w:before="0" w:beforeAutospacing="0" w:after="0" w:afterAutospacing="0"/>
      <w:ind w:left="0" w:right="0" w:firstLine="420" w:firstLineChars="200"/>
      <w:jc w:val="both"/>
    </w:pPr>
    <w:rPr>
      <w:rFonts w:hint="default" w:ascii="Times New Roman" w:hAnsi="Times New Roman" w:eastAsia="宋体" w:cs="Times New Roman"/>
      <w:kern w:val="2"/>
      <w:sz w:val="21"/>
      <w:szCs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48837D6-9E53-48F8-8F67-C1848F1F0389}">
  <ds:schemaRefs/>
</ds:datastoreItem>
</file>

<file path=docProps/app.xml><?xml version="1.0" encoding="utf-8"?>
<Properties xmlns="http://schemas.openxmlformats.org/officeDocument/2006/extended-properties" xmlns:vt="http://schemas.openxmlformats.org/officeDocument/2006/docPropsVTypes">
  <Template>Normal</Template>
  <Company>www.360xt.cn</Company>
  <Pages>14</Pages>
  <Words>364</Words>
  <Characters>2077</Characters>
  <Lines>17</Lines>
  <Paragraphs>4</Paragraphs>
  <TotalTime>1</TotalTime>
  <ScaleCrop>false</ScaleCrop>
  <LinksUpToDate>false</LinksUpToDate>
  <CharactersWithSpaces>2437</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2020-11-20T04:44:00Z</dcterms:created>
  <dc:creator>Administrator</dc:creator>
  <cp:lastModifiedBy>Ruiiiii</cp:lastModifiedBy>
  <cp:lastPrinted>2020-11-24T03:31:00Z</cp:lastPrinted>
  <dcterms:modified xsi:type="dcterms:W3CDTF">2021-12-15T07:39:41Z</dcterms:modified>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A93531FCD51E4B37AA9DF95B93509D0F</vt:lpwstr>
  </property>
</Properties>
</file>